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7971C1"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#80</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9E10CF">
        <w:rPr>
          <w:rFonts w:ascii="Arial" w:hAnsi="Arial" w:cs="Arial"/>
          <w:sz w:val="24"/>
          <w:szCs w:val="28"/>
          <w:lang w:val="en-US"/>
        </w:rPr>
        <w:t>166144</w:t>
      </w:r>
    </w:p>
    <w:p w:rsidR="00D80957" w:rsidRPr="007971C1" w:rsidRDefault="007971C1" w:rsidP="005A4F39">
      <w:pPr>
        <w:pStyle w:val="Header"/>
        <w:tabs>
          <w:tab w:val="right" w:pos="9072"/>
        </w:tabs>
        <w:rPr>
          <w:rFonts w:ascii="Arial" w:hAnsi="Arial" w:cs="Arial"/>
          <w:sz w:val="24"/>
          <w:szCs w:val="28"/>
        </w:rPr>
      </w:pPr>
      <w:r w:rsidRPr="007971C1">
        <w:rPr>
          <w:rFonts w:ascii="Arial" w:hAnsi="Arial" w:cs="Arial"/>
          <w:sz w:val="24"/>
          <w:szCs w:val="28"/>
        </w:rPr>
        <w:t>Gothenburg, Sweden</w:t>
      </w:r>
      <w:r w:rsidR="007D18D2" w:rsidRPr="007971C1">
        <w:rPr>
          <w:rFonts w:ascii="Arial" w:hAnsi="Arial" w:cs="Arial"/>
          <w:sz w:val="24"/>
          <w:szCs w:val="28"/>
        </w:rPr>
        <w:t xml:space="preserve">, </w:t>
      </w:r>
      <w:r w:rsidRPr="007971C1">
        <w:rPr>
          <w:rFonts w:ascii="Arial" w:hAnsi="Arial" w:cs="Arial"/>
          <w:sz w:val="24"/>
          <w:szCs w:val="28"/>
        </w:rPr>
        <w:t>August</w:t>
      </w:r>
      <w:r w:rsidR="008A3944" w:rsidRPr="007971C1">
        <w:rPr>
          <w:rFonts w:ascii="Arial" w:hAnsi="Arial" w:cs="Arial"/>
          <w:sz w:val="24"/>
          <w:szCs w:val="28"/>
        </w:rPr>
        <w:t xml:space="preserve"> </w:t>
      </w:r>
      <w:r w:rsidRPr="007971C1">
        <w:rPr>
          <w:rFonts w:ascii="Arial" w:hAnsi="Arial" w:cs="Arial"/>
          <w:sz w:val="24"/>
          <w:szCs w:val="28"/>
        </w:rPr>
        <w:t>22 – 26</w:t>
      </w:r>
      <w:r w:rsidR="00F56366" w:rsidRPr="007971C1">
        <w:rPr>
          <w:rFonts w:ascii="Arial" w:hAnsi="Arial" w:cs="Arial"/>
          <w:sz w:val="24"/>
          <w:szCs w:val="28"/>
        </w:rPr>
        <w:t>, 2016</w:t>
      </w:r>
    </w:p>
    <w:p w:rsidR="00D80957" w:rsidRPr="007971C1" w:rsidRDefault="00D80957" w:rsidP="0033186E">
      <w:pPr>
        <w:tabs>
          <w:tab w:val="left" w:pos="1985"/>
        </w:tabs>
        <w:spacing w:before="240" w:after="0"/>
        <w:jc w:val="both"/>
        <w:rPr>
          <w:rFonts w:ascii="Arial" w:hAnsi="Arial" w:cs="Arial"/>
          <w:bCs/>
          <w:sz w:val="22"/>
          <w:szCs w:val="22"/>
        </w:rPr>
      </w:pPr>
      <w:r w:rsidRPr="007971C1">
        <w:rPr>
          <w:rFonts w:ascii="Arial" w:hAnsi="Arial" w:cs="Arial"/>
          <w:b/>
          <w:sz w:val="22"/>
          <w:szCs w:val="22"/>
        </w:rPr>
        <w:t>Agenda Item:</w:t>
      </w:r>
      <w:r w:rsidRPr="007971C1">
        <w:rPr>
          <w:rFonts w:ascii="Arial" w:hAnsi="Arial" w:cs="Arial"/>
          <w:b/>
          <w:sz w:val="22"/>
          <w:szCs w:val="22"/>
        </w:rPr>
        <w:tab/>
      </w:r>
      <w:r w:rsidR="009E10CF">
        <w:rPr>
          <w:rFonts w:ascii="Arial" w:hAnsi="Arial" w:cs="Arial"/>
          <w:bCs/>
          <w:sz w:val="22"/>
          <w:szCs w:val="22"/>
        </w:rPr>
        <w:t>8</w:t>
      </w:r>
      <w:r w:rsidR="007971C1" w:rsidRPr="007971C1">
        <w:rPr>
          <w:rFonts w:ascii="Arial" w:hAnsi="Arial" w:cs="Arial"/>
          <w:bCs/>
          <w:sz w:val="22"/>
          <w:szCs w:val="22"/>
        </w:rPr>
        <w:t>.11.4</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7971C1">
        <w:rPr>
          <w:rFonts w:ascii="Arial" w:hAnsi="Arial" w:cs="Arial"/>
          <w:sz w:val="22"/>
          <w:szCs w:val="22"/>
          <w:lang w:val="en-US"/>
        </w:rPr>
        <w:t>Cell Identification in V2V</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0" w:name="OLE_LINK13"/>
      <w:bookmarkStart w:id="1" w:name="OLE_LINK14"/>
    </w:p>
    <w:p w:rsidR="00D21205" w:rsidRDefault="008D237F" w:rsidP="00F56366">
      <w:pPr>
        <w:jc w:val="both"/>
        <w:rPr>
          <w:sz w:val="22"/>
          <w:szCs w:val="22"/>
          <w:lang w:val="en-US"/>
        </w:rPr>
      </w:pPr>
      <w:r>
        <w:rPr>
          <w:sz w:val="22"/>
          <w:szCs w:val="22"/>
          <w:lang w:val="en-US"/>
        </w:rPr>
        <w:t>I</w:t>
      </w:r>
      <w:r w:rsidRPr="00EB2B5A">
        <w:rPr>
          <w:sz w:val="22"/>
          <w:szCs w:val="22"/>
          <w:lang w:val="en-US"/>
        </w:rPr>
        <w:t>n this contribution we</w:t>
      </w:r>
      <w:r w:rsidR="00D21205">
        <w:rPr>
          <w:sz w:val="22"/>
          <w:szCs w:val="22"/>
          <w:lang w:val="en-US"/>
        </w:rPr>
        <w:t xml:space="preserve"> investigate the sensitivity in PSS and SSS detection to frequency offsets for </w:t>
      </w:r>
      <w:r w:rsidR="00952D6D" w:rsidRPr="00EB2B5A">
        <w:rPr>
          <w:sz w:val="22"/>
          <w:szCs w:val="22"/>
          <w:lang w:val="en-US"/>
        </w:rPr>
        <w:t>cell identification in V2V.</w:t>
      </w:r>
      <w:r w:rsidR="00D21205">
        <w:rPr>
          <w:sz w:val="22"/>
          <w:szCs w:val="22"/>
          <w:lang w:val="en-US"/>
        </w:rPr>
        <w:t xml:space="preserve"> </w:t>
      </w:r>
      <w:r w:rsidR="00296E2D" w:rsidRPr="00EB2B5A">
        <w:rPr>
          <w:sz w:val="22"/>
          <w:szCs w:val="22"/>
          <w:lang w:val="en-US"/>
        </w:rPr>
        <w:t xml:space="preserve">The current work item on core requirements for V2V operation specifies the following to be undertaken by RAN4 </w:t>
      </w:r>
      <w:r w:rsidR="00296E2D" w:rsidRPr="00EB2B5A">
        <w:rPr>
          <w:sz w:val="22"/>
          <w:szCs w:val="22"/>
          <w:lang w:val="en-US"/>
        </w:rPr>
        <w:fldChar w:fldCharType="begin"/>
      </w:r>
      <w:r w:rsidR="00296E2D" w:rsidRPr="00EB2B5A">
        <w:rPr>
          <w:sz w:val="22"/>
          <w:szCs w:val="22"/>
          <w:lang w:val="en-US"/>
        </w:rPr>
        <w:instrText xml:space="preserve"> REF _Ref450907582 \r \h </w:instrText>
      </w:r>
      <w:r w:rsidR="00296E2D" w:rsidRPr="00EB2B5A">
        <w:rPr>
          <w:sz w:val="22"/>
          <w:szCs w:val="22"/>
          <w:lang w:val="en-US"/>
        </w:rPr>
      </w:r>
      <w:r w:rsidR="00EB2B5A">
        <w:rPr>
          <w:sz w:val="22"/>
          <w:szCs w:val="22"/>
          <w:lang w:val="en-US"/>
        </w:rPr>
        <w:instrText xml:space="preserve"> \* MERGEFORMAT </w:instrText>
      </w:r>
      <w:r w:rsidR="00296E2D" w:rsidRPr="00EB2B5A">
        <w:rPr>
          <w:sz w:val="22"/>
          <w:szCs w:val="22"/>
          <w:lang w:val="en-US"/>
        </w:rPr>
        <w:fldChar w:fldCharType="separate"/>
      </w:r>
      <w:r w:rsidR="00296E2D" w:rsidRPr="00EB2B5A">
        <w:rPr>
          <w:sz w:val="22"/>
          <w:szCs w:val="22"/>
          <w:lang w:val="en-US"/>
        </w:rPr>
        <w:t>[1]</w:t>
      </w:r>
      <w:r w:rsidR="00296E2D" w:rsidRPr="00EB2B5A">
        <w:rPr>
          <w:sz w:val="22"/>
          <w:szCs w:val="22"/>
          <w:lang w:val="en-US"/>
        </w:rPr>
        <w:fldChar w:fldCharType="end"/>
      </w:r>
      <w:r w:rsidR="00296E2D" w:rsidRPr="00EB2B5A">
        <w:rPr>
          <w:sz w:val="22"/>
          <w:szCs w:val="22"/>
          <w:lang w:val="en-US"/>
        </w:rPr>
        <w:t>:</w:t>
      </w:r>
    </w:p>
    <w:p w:rsidR="00296E2D" w:rsidRDefault="00D21205" w:rsidP="00F56366">
      <w:pPr>
        <w:jc w:val="both"/>
        <w:rPr>
          <w:sz w:val="22"/>
          <w:szCs w:val="22"/>
          <w:lang w:val="en-US"/>
        </w:rPr>
      </w:pPr>
      <w:r w:rsidRPr="00EB2B5A">
        <w:rPr>
          <w:noProof/>
          <w:sz w:val="22"/>
          <w:szCs w:val="22"/>
          <w:lang w:eastAsia="zh-CN"/>
        </w:rPr>
        <mc:AlternateContent>
          <mc:Choice Requires="wps">
            <w:drawing>
              <wp:anchor distT="0" distB="0" distL="114300" distR="114300" simplePos="0" relativeHeight="251659264" behindDoc="0" locked="0" layoutInCell="1" allowOverlap="1" wp14:anchorId="19AB790F" wp14:editId="624FE573">
                <wp:simplePos x="0" y="0"/>
                <wp:positionH relativeFrom="column">
                  <wp:posOffset>194310</wp:posOffset>
                </wp:positionH>
                <wp:positionV relativeFrom="paragraph">
                  <wp:posOffset>104140</wp:posOffset>
                </wp:positionV>
                <wp:extent cx="5779135" cy="552450"/>
                <wp:effectExtent l="0" t="0" r="12065" b="1905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135" cy="552450"/>
                        </a:xfrm>
                        <a:prstGeom prst="rect">
                          <a:avLst/>
                        </a:prstGeom>
                        <a:solidFill>
                          <a:srgbClr val="FFFFFF"/>
                        </a:solidFill>
                        <a:ln w="9525">
                          <a:solidFill>
                            <a:srgbClr val="000000"/>
                          </a:solidFill>
                          <a:miter lim="800000"/>
                          <a:headEnd/>
                          <a:tailEnd/>
                        </a:ln>
                      </wps:spPr>
                      <wps:txbx>
                        <w:txbxContent>
                          <w:p w:rsidR="00296E2D" w:rsidRPr="00054A21" w:rsidRDefault="00296E2D" w:rsidP="00296E2D">
                            <w:pPr>
                              <w:pStyle w:val="ListParagraph"/>
                              <w:widowControl w:val="0"/>
                              <w:numPr>
                                <w:ilvl w:val="0"/>
                                <w:numId w:val="14"/>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 xml:space="preserve">To specify UE </w:t>
                            </w:r>
                            <w:proofErr w:type="spellStart"/>
                            <w:r w:rsidRPr="00054A21">
                              <w:rPr>
                                <w:rFonts w:ascii="Times" w:hAnsi="Times" w:cs="Helvetica"/>
                                <w:lang w:val="en-US" w:eastAsia="ko-KR"/>
                              </w:rPr>
                              <w:t>Tx</w:t>
                            </w:r>
                            <w:proofErr w:type="spellEnd"/>
                            <w:r w:rsidRPr="00054A21">
                              <w:rPr>
                                <w:rFonts w:ascii="Times" w:hAnsi="Times" w:cs="Helvetica"/>
                                <w:lang w:val="en-US" w:eastAsia="ko-KR"/>
                              </w:rPr>
                              <w:t xml:space="preserve"> and Rx RF requirement covering operations at up to 6 GHz carrier [RAN4]</w:t>
                            </w:r>
                          </w:p>
                          <w:p w:rsidR="00296E2D" w:rsidRPr="00054A21" w:rsidRDefault="00296E2D" w:rsidP="00296E2D">
                            <w:pPr>
                              <w:widowControl w:val="0"/>
                              <w:numPr>
                                <w:ilvl w:val="0"/>
                                <w:numId w:val="14"/>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296E2D" w:rsidRPr="00054A21" w:rsidRDefault="00296E2D" w:rsidP="00296E2D">
                            <w:pPr>
                              <w:ind w:left="360"/>
                              <w:rPr>
                                <w:sz w:val="22"/>
                                <w:highlight w:val="yellow"/>
                              </w:rPr>
                            </w:pPr>
                          </w:p>
                          <w:p w:rsidR="00296E2D" w:rsidRPr="00612F6D" w:rsidRDefault="00296E2D" w:rsidP="00296E2D"/>
                          <w:p w:rsidR="00296E2D" w:rsidRPr="00612F6D" w:rsidRDefault="00296E2D" w:rsidP="00296E2D"/>
                          <w:p w:rsidR="00296E2D" w:rsidRPr="00612F6D" w:rsidRDefault="00296E2D" w:rsidP="00296E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3pt;margin-top:8.2pt;width:455.0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FdMIwIAAEQEAAAOAAAAZHJzL2Uyb0RvYy54bWysU9uO0zAQfUfiHyy/07SlYbdR09XSpQhp&#10;uUi7fMDEcRoL2xNst0n5esZOt1QLvCD8YHk84+OZc2ZWN4PR7CCdV2hLPptMOZNWYK3sruRfH7ev&#10;rjnzAWwNGq0s+VF6frN++WLVd4WcY4u6lo4RiPVF35W8DaErssyLVhrwE+ykJWeDzkAg0+2y2kFP&#10;6EZn8+n0TdajqzuHQnpPt3ejk68TftNIET43jZeB6ZJTbiHtLu1V3LP1Coqdg65V4pQG/EMWBpSl&#10;T89QdxCA7Z36Dcoo4dBjEyYCTYZNo4RMNVA1s+mzah5a6GSqhcjx3Zkm//9gxafDF8dUXfIFZxYM&#10;SfQoh8De4sDmkZ2+8wUFPXQUFga6JpVTpb67R/HNM4ubFuxO3jqHfSuhpuxm8WV28XTE8RGk6j9i&#10;Td/APmACGhpnInVEBiN0Uul4ViamIugyv7pazl7nnAny5fl8kSfpMiieXnfOh/cSDYuHkjtSPqHD&#10;4d6HmA0UTyHxM49a1VuldTLcrtpoxw5AXbJNKxXwLExb1pd8mc/zkYC/QkzT+hOEUYHaXStT8utz&#10;EBSRtne2Ts0YQOnxTClre+IxUjeSGIZqOOlSYX0kRh2ObU1jSIcW3Q/Oemrpkvvve3CSM/3BkirL&#10;2WIRZyAZi/xqToa79FSXHrCCoEoeOBuPm5DmJhJm8ZbUa1QiNso8ZnLKlVo18X0aqzgLl3aK+jX8&#10;658AAAD//wMAUEsDBBQABgAIAAAAIQDdnXA93gAAAAkBAAAPAAAAZHJzL2Rvd25yZXYueG1sTI/B&#10;TsMwEETvSPyDtUhcELUhUdqGOBVCAsENCoKrm2yTCHsdbDcNf89yguPOjGbfVJvZWTFhiIMnDVcL&#10;BQKp8e1AnYa31/vLFYiYDLXGekIN3xhhU5+eVKZs/ZFecNqmTnAJxdJo6FMaSylj06MzceFHJPb2&#10;PjiT+AydbIM5crmz8lqpQjozEH/ozYh3PTaf24PTsMofp4/4lD2/N8XertPFcnr4Clqfn823NyAS&#10;zukvDL/4jA41M+38gdoorIZMFZxkvchBsL/O1RLEjgWV5SDrSv5fUP8AAAD//wMAUEsBAi0AFAAG&#10;AAgAAAAhALaDOJL+AAAA4QEAABMAAAAAAAAAAAAAAAAAAAAAAFtDb250ZW50X1R5cGVzXS54bWxQ&#10;SwECLQAUAAYACAAAACEAOP0h/9YAAACUAQAACwAAAAAAAAAAAAAAAAAvAQAAX3JlbHMvLnJlbHNQ&#10;SwECLQAUAAYACAAAACEAMNxXTCMCAABEBAAADgAAAAAAAAAAAAAAAAAuAgAAZHJzL2Uyb0RvYy54&#10;bWxQSwECLQAUAAYACAAAACEA3Z1wPd4AAAAJAQAADwAAAAAAAAAAAAAAAAB9BAAAZHJzL2Rvd25y&#10;ZXYueG1sUEsFBgAAAAAEAAQA8wAAAIgFAAAAAA==&#10;">
                <v:textbox>
                  <w:txbxContent>
                    <w:p w:rsidR="00296E2D" w:rsidRPr="00054A21" w:rsidRDefault="00296E2D" w:rsidP="00296E2D">
                      <w:pPr>
                        <w:pStyle w:val="ListParagraph"/>
                        <w:widowControl w:val="0"/>
                        <w:numPr>
                          <w:ilvl w:val="0"/>
                          <w:numId w:val="14"/>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 xml:space="preserve">To specify UE </w:t>
                      </w:r>
                      <w:proofErr w:type="spellStart"/>
                      <w:r w:rsidRPr="00054A21">
                        <w:rPr>
                          <w:rFonts w:ascii="Times" w:hAnsi="Times" w:cs="Helvetica"/>
                          <w:lang w:val="en-US" w:eastAsia="ko-KR"/>
                        </w:rPr>
                        <w:t>Tx</w:t>
                      </w:r>
                      <w:proofErr w:type="spellEnd"/>
                      <w:r w:rsidRPr="00054A21">
                        <w:rPr>
                          <w:rFonts w:ascii="Times" w:hAnsi="Times" w:cs="Helvetica"/>
                          <w:lang w:val="en-US" w:eastAsia="ko-KR"/>
                        </w:rPr>
                        <w:t xml:space="preserve"> and Rx RF requirement covering operations at up to 6 GHz carrier [RAN4]</w:t>
                      </w:r>
                    </w:p>
                    <w:p w:rsidR="00296E2D" w:rsidRPr="00054A21" w:rsidRDefault="00296E2D" w:rsidP="00296E2D">
                      <w:pPr>
                        <w:widowControl w:val="0"/>
                        <w:numPr>
                          <w:ilvl w:val="0"/>
                          <w:numId w:val="14"/>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296E2D" w:rsidRPr="00054A21" w:rsidRDefault="00296E2D" w:rsidP="00296E2D">
                      <w:pPr>
                        <w:ind w:left="360"/>
                        <w:rPr>
                          <w:sz w:val="22"/>
                          <w:highlight w:val="yellow"/>
                        </w:rPr>
                      </w:pPr>
                    </w:p>
                    <w:p w:rsidR="00296E2D" w:rsidRPr="00612F6D" w:rsidRDefault="00296E2D" w:rsidP="00296E2D"/>
                    <w:p w:rsidR="00296E2D" w:rsidRPr="00612F6D" w:rsidRDefault="00296E2D" w:rsidP="00296E2D"/>
                    <w:p w:rsidR="00296E2D" w:rsidRPr="00612F6D" w:rsidRDefault="00296E2D" w:rsidP="00296E2D"/>
                  </w:txbxContent>
                </v:textbox>
                <w10:wrap type="topAndBottom"/>
              </v:shape>
            </w:pict>
          </mc:Fallback>
        </mc:AlternateContent>
      </w:r>
    </w:p>
    <w:p w:rsidR="00DD05AA" w:rsidRDefault="00D21205" w:rsidP="00F56366">
      <w:pPr>
        <w:jc w:val="both"/>
        <w:rPr>
          <w:sz w:val="22"/>
          <w:szCs w:val="22"/>
          <w:lang w:val="en-US"/>
        </w:rPr>
      </w:pPr>
      <w:r>
        <w:rPr>
          <w:sz w:val="22"/>
          <w:szCs w:val="22"/>
          <w:lang w:val="en-US"/>
        </w:rPr>
        <w:t>The high carrier frequency leads to larger Doppler shifts than expe</w:t>
      </w:r>
      <w:r w:rsidR="00087EE2">
        <w:rPr>
          <w:sz w:val="22"/>
          <w:szCs w:val="22"/>
          <w:lang w:val="en-US"/>
        </w:rPr>
        <w:t>rienced in le</w:t>
      </w:r>
      <w:r w:rsidR="00DD05AA">
        <w:rPr>
          <w:sz w:val="22"/>
          <w:szCs w:val="22"/>
          <w:lang w:val="en-US"/>
        </w:rPr>
        <w:t xml:space="preserve">gacy </w:t>
      </w:r>
      <w:proofErr w:type="gramStart"/>
      <w:r w:rsidR="00087EE2">
        <w:rPr>
          <w:sz w:val="22"/>
          <w:szCs w:val="22"/>
          <w:lang w:val="en-US"/>
        </w:rPr>
        <w:t>LTE</w:t>
      </w:r>
      <w:r w:rsidR="00DD05AA">
        <w:rPr>
          <w:sz w:val="22"/>
          <w:szCs w:val="22"/>
          <w:lang w:val="en-US"/>
        </w:rPr>
        <w:t>,</w:t>
      </w:r>
      <w:proofErr w:type="gramEnd"/>
      <w:r w:rsidR="00087EE2">
        <w:rPr>
          <w:sz w:val="22"/>
          <w:szCs w:val="22"/>
          <w:lang w:val="en-US"/>
        </w:rPr>
        <w:t xml:space="preserve"> hence an assessment on whether the legacy cell identification approach can be reused in V2V operation</w:t>
      </w:r>
      <w:r>
        <w:rPr>
          <w:sz w:val="22"/>
          <w:szCs w:val="22"/>
          <w:lang w:val="en-US"/>
        </w:rPr>
        <w:t xml:space="preserve"> </w:t>
      </w:r>
      <w:r w:rsidR="00DD05AA">
        <w:rPr>
          <w:sz w:val="22"/>
          <w:szCs w:val="22"/>
          <w:lang w:val="en-US"/>
        </w:rPr>
        <w:t>is needed.</w:t>
      </w:r>
      <w:bookmarkStart w:id="2" w:name="_GoBack"/>
      <w:bookmarkEnd w:id="2"/>
    </w:p>
    <w:p w:rsidR="00575E80" w:rsidRDefault="007971C1" w:rsidP="00BD2156">
      <w:pPr>
        <w:pStyle w:val="Heading1"/>
        <w:ind w:left="431" w:hanging="431"/>
        <w:rPr>
          <w:szCs w:val="36"/>
          <w:lang w:val="en-US"/>
        </w:rPr>
      </w:pPr>
      <w:r>
        <w:rPr>
          <w:szCs w:val="36"/>
          <w:lang w:val="en-US"/>
        </w:rPr>
        <w:t>Cell Identification</w:t>
      </w:r>
      <w:r w:rsidR="00597900">
        <w:rPr>
          <w:szCs w:val="36"/>
          <w:lang w:val="en-US"/>
        </w:rPr>
        <w:t xml:space="preserve"> in V2V</w:t>
      </w:r>
    </w:p>
    <w:p w:rsidR="00597900" w:rsidRDefault="00597900" w:rsidP="00C36EE0">
      <w:pPr>
        <w:jc w:val="both"/>
        <w:rPr>
          <w:sz w:val="22"/>
          <w:szCs w:val="22"/>
          <w:lang w:val="en-US"/>
        </w:rPr>
      </w:pPr>
      <w:r w:rsidRPr="00597900">
        <w:rPr>
          <w:sz w:val="22"/>
          <w:szCs w:val="22"/>
          <w:lang w:val="en-US"/>
        </w:rPr>
        <w:t>Cell identification</w:t>
      </w:r>
      <w:r>
        <w:rPr>
          <w:sz w:val="22"/>
          <w:szCs w:val="22"/>
          <w:lang w:val="en-US"/>
        </w:rPr>
        <w:t xml:space="preserve"> performance in V2V is likely to depend on the scenarios with respect to the frequency synchronization source available to a UE. The synchronization source can be either of:</w:t>
      </w:r>
    </w:p>
    <w:p w:rsidR="00597900" w:rsidRDefault="00597900" w:rsidP="00C36EE0">
      <w:pPr>
        <w:pStyle w:val="ListParagraph"/>
        <w:numPr>
          <w:ilvl w:val="0"/>
          <w:numId w:val="13"/>
        </w:numPr>
        <w:jc w:val="both"/>
        <w:rPr>
          <w:sz w:val="22"/>
          <w:szCs w:val="22"/>
          <w:lang w:val="en-US"/>
        </w:rPr>
      </w:pPr>
      <w:r>
        <w:rPr>
          <w:sz w:val="22"/>
          <w:szCs w:val="22"/>
          <w:lang w:val="en-US"/>
        </w:rPr>
        <w:t>RAN, in case the UE is already connected to a cell and is identifying a target cell,</w:t>
      </w:r>
    </w:p>
    <w:p w:rsidR="00597900" w:rsidRDefault="00597900" w:rsidP="00C36EE0">
      <w:pPr>
        <w:pStyle w:val="ListParagraph"/>
        <w:numPr>
          <w:ilvl w:val="0"/>
          <w:numId w:val="13"/>
        </w:numPr>
        <w:jc w:val="both"/>
        <w:rPr>
          <w:sz w:val="22"/>
          <w:szCs w:val="22"/>
          <w:lang w:val="en-US"/>
        </w:rPr>
      </w:pPr>
      <w:r>
        <w:rPr>
          <w:sz w:val="22"/>
          <w:szCs w:val="22"/>
          <w:lang w:val="en-US"/>
        </w:rPr>
        <w:t>GNSS, in case the UE is outside RAN coverage but can receive GPS information from satellites, and</w:t>
      </w:r>
    </w:p>
    <w:p w:rsidR="00597900" w:rsidRDefault="00597900" w:rsidP="00C36EE0">
      <w:pPr>
        <w:pStyle w:val="ListParagraph"/>
        <w:numPr>
          <w:ilvl w:val="0"/>
          <w:numId w:val="13"/>
        </w:numPr>
        <w:jc w:val="both"/>
        <w:rPr>
          <w:sz w:val="22"/>
          <w:szCs w:val="22"/>
          <w:lang w:val="en-US"/>
        </w:rPr>
      </w:pPr>
      <w:proofErr w:type="spellStart"/>
      <w:r>
        <w:rPr>
          <w:sz w:val="22"/>
          <w:szCs w:val="22"/>
          <w:lang w:val="en-US"/>
        </w:rPr>
        <w:t>Sidelink</w:t>
      </w:r>
      <w:proofErr w:type="spellEnd"/>
      <w:r>
        <w:rPr>
          <w:sz w:val="22"/>
          <w:szCs w:val="22"/>
          <w:lang w:val="en-US"/>
        </w:rPr>
        <w:t>, for instance in scenarios where the UE is outside RAN coverage and cannot receive signals from satellites, e.g. in a tunnel environment.</w:t>
      </w:r>
    </w:p>
    <w:p w:rsidR="00597900" w:rsidRPr="00597900" w:rsidRDefault="00597900" w:rsidP="00C36EE0">
      <w:pPr>
        <w:jc w:val="both"/>
        <w:rPr>
          <w:sz w:val="22"/>
          <w:szCs w:val="22"/>
          <w:lang w:val="en-US"/>
        </w:rPr>
      </w:pPr>
      <w:r>
        <w:rPr>
          <w:sz w:val="22"/>
          <w:szCs w:val="22"/>
          <w:lang w:val="en-US"/>
        </w:rPr>
        <w:t xml:space="preserve">As shown in </w:t>
      </w:r>
      <w:r>
        <w:rPr>
          <w:sz w:val="22"/>
          <w:szCs w:val="22"/>
          <w:lang w:val="en-US"/>
        </w:rPr>
        <w:fldChar w:fldCharType="begin"/>
      </w:r>
      <w:r>
        <w:rPr>
          <w:sz w:val="22"/>
          <w:szCs w:val="22"/>
          <w:lang w:val="en-US"/>
        </w:rPr>
        <w:instrText xml:space="preserve"> REF _Ref458771671 \r \h </w:instrText>
      </w:r>
      <w:r>
        <w:rPr>
          <w:sz w:val="22"/>
          <w:szCs w:val="22"/>
          <w:lang w:val="en-US"/>
        </w:rPr>
      </w:r>
      <w:r w:rsidR="00C36EE0">
        <w:rPr>
          <w:sz w:val="22"/>
          <w:szCs w:val="22"/>
          <w:lang w:val="en-US"/>
        </w:rPr>
        <w:instrText xml:space="preserve"> \* MERGEFORMAT </w:instrText>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the carrier frequency offset (CFO), i.e. the frequency offset between the UE demodulation frequency and the received carrier frequency of the target cell or the </w:t>
      </w:r>
      <w:proofErr w:type="spellStart"/>
      <w:r>
        <w:rPr>
          <w:sz w:val="22"/>
          <w:szCs w:val="22"/>
          <w:lang w:val="en-US"/>
        </w:rPr>
        <w:t>sidelink</w:t>
      </w:r>
      <w:proofErr w:type="spellEnd"/>
      <w:r w:rsidR="00296E2D">
        <w:rPr>
          <w:sz w:val="22"/>
          <w:szCs w:val="22"/>
          <w:lang w:val="en-US"/>
        </w:rPr>
        <w:t>,</w:t>
      </w:r>
      <w:r>
        <w:rPr>
          <w:sz w:val="22"/>
          <w:szCs w:val="22"/>
          <w:lang w:val="en-US"/>
        </w:rPr>
        <w:t xml:space="preserve"> </w:t>
      </w:r>
      <w:r w:rsidRPr="00C36EE0">
        <w:rPr>
          <w:sz w:val="22"/>
          <w:szCs w:val="22"/>
          <w:lang w:val="en-US"/>
        </w:rPr>
        <w:t>can be as high as 5.5 kHz in certain scenarios</w:t>
      </w:r>
    </w:p>
    <w:p w:rsidR="00952D6D" w:rsidRDefault="00296E2D" w:rsidP="00C36EE0">
      <w:pPr>
        <w:jc w:val="both"/>
        <w:rPr>
          <w:sz w:val="22"/>
          <w:szCs w:val="22"/>
          <w:lang w:val="en-US" w:eastAsia="ja-JP"/>
        </w:rPr>
      </w:pPr>
      <w:r>
        <w:rPr>
          <w:sz w:val="22"/>
          <w:szCs w:val="22"/>
          <w:lang w:val="en-US" w:eastAsia="ja-JP"/>
        </w:rPr>
        <w:t xml:space="preserve">In case the UE is moving from out-of-coverage to RAN coverage and is using GNSS as synchronization source, the worst CFO experienced is ±1.39 kHz when RAN is operating on a 5.9GHz carrier (not precluded in the SI). The speed of the UE has virtually no impact on the received GPS timing, and the only contribution is due to Doppler shift if ignoring </w:t>
      </w:r>
      <w:proofErr w:type="spellStart"/>
      <w:r>
        <w:rPr>
          <w:sz w:val="22"/>
          <w:szCs w:val="22"/>
          <w:lang w:val="en-US" w:eastAsia="ja-JP"/>
        </w:rPr>
        <w:t>eNB</w:t>
      </w:r>
      <w:proofErr w:type="spellEnd"/>
      <w:r>
        <w:rPr>
          <w:sz w:val="22"/>
          <w:szCs w:val="22"/>
          <w:lang w:val="en-US" w:eastAsia="ja-JP"/>
        </w:rPr>
        <w:t xml:space="preserve"> frequency stability tolerance; see </w:t>
      </w:r>
      <w:r>
        <w:rPr>
          <w:sz w:val="22"/>
          <w:szCs w:val="22"/>
          <w:lang w:val="en-US" w:eastAsia="ja-JP"/>
        </w:rPr>
        <w:fldChar w:fldCharType="begin"/>
      </w:r>
      <w:r>
        <w:rPr>
          <w:sz w:val="22"/>
          <w:szCs w:val="22"/>
          <w:lang w:val="en-US" w:eastAsia="ja-JP"/>
        </w:rPr>
        <w:instrText xml:space="preserve"> REF _Ref458763976 \h </w:instrText>
      </w:r>
      <w:r>
        <w:rPr>
          <w:sz w:val="22"/>
          <w:szCs w:val="22"/>
          <w:lang w:val="en-US" w:eastAsia="ja-JP"/>
        </w:rPr>
      </w:r>
      <w:r w:rsidR="00C36EE0">
        <w:rPr>
          <w:sz w:val="22"/>
          <w:szCs w:val="22"/>
          <w:lang w:val="en-US" w:eastAsia="ja-JP"/>
        </w:rPr>
        <w:instrText xml:space="preserve"> \* MERGEFORMAT </w:instrText>
      </w:r>
      <w:r>
        <w:rPr>
          <w:sz w:val="22"/>
          <w:szCs w:val="22"/>
          <w:lang w:val="en-US" w:eastAsia="ja-JP"/>
        </w:rPr>
        <w:fldChar w:fldCharType="separate"/>
      </w:r>
      <w:r w:rsidRPr="00597900">
        <w:rPr>
          <w:sz w:val="22"/>
          <w:szCs w:val="22"/>
        </w:rPr>
        <w:t xml:space="preserve">Figure </w:t>
      </w:r>
      <w:r w:rsidRPr="00597900">
        <w:rPr>
          <w:noProof/>
          <w:sz w:val="22"/>
          <w:szCs w:val="22"/>
        </w:rPr>
        <w:t>1</w:t>
      </w:r>
      <w:r>
        <w:rPr>
          <w:sz w:val="22"/>
          <w:szCs w:val="22"/>
          <w:lang w:val="en-US" w:eastAsia="ja-JP"/>
        </w:rPr>
        <w:fldChar w:fldCharType="end"/>
      </w:r>
      <w:r>
        <w:rPr>
          <w:sz w:val="22"/>
          <w:szCs w:val="22"/>
          <w:lang w:val="en-US" w:eastAsia="ja-JP"/>
        </w:rPr>
        <w:t>.</w:t>
      </w:r>
    </w:p>
    <w:p w:rsidR="00296E2D" w:rsidRPr="00597900" w:rsidRDefault="00296E2D" w:rsidP="00296E2D">
      <w:pPr>
        <w:jc w:val="both"/>
        <w:rPr>
          <w:sz w:val="22"/>
          <w:szCs w:val="22"/>
          <w:lang w:val="en-US" w:eastAsia="ja-JP"/>
        </w:rPr>
      </w:pPr>
    </w:p>
    <w:p w:rsidR="00952D6D" w:rsidRPr="00597900" w:rsidRDefault="00952D6D" w:rsidP="00296E2D">
      <w:pPr>
        <w:rPr>
          <w:sz w:val="22"/>
          <w:szCs w:val="22"/>
          <w:lang w:val="en-US" w:eastAsia="ja-JP"/>
        </w:rPr>
      </w:pPr>
    </w:p>
    <w:p w:rsidR="00952D6D" w:rsidRPr="00597900" w:rsidRDefault="00C36EE0" w:rsidP="00296E2D">
      <w:pPr>
        <w:keepNext/>
        <w:jc w:val="center"/>
        <w:rPr>
          <w:sz w:val="22"/>
          <w:szCs w:val="22"/>
          <w:lang w:val="en-US"/>
        </w:rPr>
      </w:pPr>
      <w:r w:rsidRPr="00597900">
        <w:rPr>
          <w:sz w:val="22"/>
          <w:szCs w:val="22"/>
          <w:lang w:val="en-US"/>
        </w:rPr>
        <w:object w:dxaOrig="6736" w:dyaOrig="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47.75pt" o:ole="">
            <v:imagedata r:id="rId9" o:title=""/>
          </v:shape>
          <o:OLEObject Type="Embed" ProgID="Visio.Drawing.15" ShapeID="_x0000_i1025" DrawAspect="Content" ObjectID="_1532522574" r:id="rId10"/>
        </w:object>
      </w:r>
    </w:p>
    <w:p w:rsidR="00952D6D" w:rsidRPr="00597900" w:rsidRDefault="00952D6D" w:rsidP="00952D6D">
      <w:pPr>
        <w:pStyle w:val="Caption"/>
        <w:rPr>
          <w:b w:val="0"/>
          <w:szCs w:val="22"/>
        </w:rPr>
      </w:pPr>
      <w:bookmarkStart w:id="3" w:name="_Ref458763976"/>
      <w:r w:rsidRPr="00597900">
        <w:rPr>
          <w:szCs w:val="22"/>
        </w:rPr>
        <w:t xml:space="preserve">Figure </w:t>
      </w:r>
      <w:r w:rsidR="00C46FA3" w:rsidRPr="00597900">
        <w:rPr>
          <w:szCs w:val="22"/>
        </w:rPr>
        <w:fldChar w:fldCharType="begin"/>
      </w:r>
      <w:r w:rsidR="00C46FA3" w:rsidRPr="00597900">
        <w:rPr>
          <w:szCs w:val="22"/>
        </w:rPr>
        <w:instrText xml:space="preserve"> SEQ Figure \* ARABIC </w:instrText>
      </w:r>
      <w:r w:rsidR="00C46FA3" w:rsidRPr="00597900">
        <w:rPr>
          <w:szCs w:val="22"/>
        </w:rPr>
        <w:fldChar w:fldCharType="separate"/>
      </w:r>
      <w:r w:rsidR="00625B40">
        <w:rPr>
          <w:noProof/>
          <w:szCs w:val="22"/>
        </w:rPr>
        <w:t>1</w:t>
      </w:r>
      <w:r w:rsidR="00C46FA3" w:rsidRPr="00597900">
        <w:rPr>
          <w:szCs w:val="22"/>
        </w:rPr>
        <w:fldChar w:fldCharType="end"/>
      </w:r>
      <w:bookmarkEnd w:id="3"/>
      <w:r w:rsidRPr="00597900">
        <w:rPr>
          <w:szCs w:val="22"/>
        </w:rPr>
        <w:t xml:space="preserve">: </w:t>
      </w:r>
      <w:r w:rsidRPr="00597900">
        <w:rPr>
          <w:b w:val="0"/>
          <w:szCs w:val="22"/>
        </w:rPr>
        <w:t>Maximum frequency offset between UE reference frequency and target cell when the UE’s synchronization source is GNSS.</w:t>
      </w:r>
    </w:p>
    <w:p w:rsidR="00952D6D" w:rsidRDefault="00952D6D" w:rsidP="00952D6D">
      <w:pPr>
        <w:rPr>
          <w:sz w:val="22"/>
          <w:szCs w:val="22"/>
          <w:lang w:val="en-US" w:eastAsia="ja-JP"/>
        </w:rPr>
      </w:pPr>
    </w:p>
    <w:p w:rsidR="00296E2D" w:rsidRDefault="00C36EE0" w:rsidP="00C36EE0">
      <w:pPr>
        <w:jc w:val="both"/>
        <w:rPr>
          <w:sz w:val="22"/>
          <w:szCs w:val="22"/>
          <w:lang w:val="en-US" w:eastAsia="ja-JP"/>
        </w:rPr>
      </w:pPr>
      <w:r>
        <w:rPr>
          <w:sz w:val="22"/>
          <w:szCs w:val="22"/>
          <w:lang w:val="en-US" w:eastAsia="ja-JP"/>
        </w:rPr>
        <w:t xml:space="preserve">A more challenging scenario is when the UE already is connected to RAN and moving from the source cell and towards the target cell. In this case the UE demodulation frequency will be down to 1.39 kHz lower than the carrier frequency used by the source </w:t>
      </w:r>
      <w:proofErr w:type="spellStart"/>
      <w:r>
        <w:rPr>
          <w:sz w:val="22"/>
          <w:szCs w:val="22"/>
          <w:lang w:val="en-US" w:eastAsia="ja-JP"/>
        </w:rPr>
        <w:t>eNB</w:t>
      </w:r>
      <w:proofErr w:type="spellEnd"/>
      <w:r>
        <w:rPr>
          <w:sz w:val="22"/>
          <w:szCs w:val="22"/>
          <w:lang w:val="en-US" w:eastAsia="ja-JP"/>
        </w:rPr>
        <w:t xml:space="preserve">. At the same time the downlink carrier received from the target cell may be up to 1.39 kHz higher than the carrier frequency used by the target </w:t>
      </w:r>
      <w:proofErr w:type="spellStart"/>
      <w:r>
        <w:rPr>
          <w:sz w:val="22"/>
          <w:szCs w:val="22"/>
          <w:lang w:val="en-US" w:eastAsia="ja-JP"/>
        </w:rPr>
        <w:t>eNB</w:t>
      </w:r>
      <w:proofErr w:type="spellEnd"/>
      <w:r>
        <w:rPr>
          <w:sz w:val="22"/>
          <w:szCs w:val="22"/>
          <w:lang w:val="en-US" w:eastAsia="ja-JP"/>
        </w:rPr>
        <w:t xml:space="preserve">. This results in that there is an offset of up to 2.78 kHz between the received carrier of the target cell and the UE demodulation frequency; see </w:t>
      </w:r>
      <w:r>
        <w:rPr>
          <w:sz w:val="22"/>
          <w:szCs w:val="22"/>
          <w:lang w:val="en-US" w:eastAsia="ja-JP"/>
        </w:rPr>
        <w:fldChar w:fldCharType="begin"/>
      </w:r>
      <w:r>
        <w:rPr>
          <w:sz w:val="22"/>
          <w:szCs w:val="22"/>
          <w:lang w:val="en-US" w:eastAsia="ja-JP"/>
        </w:rPr>
        <w:instrText xml:space="preserve"> REF _Ref458764002 \h </w:instrText>
      </w:r>
      <w:r>
        <w:rPr>
          <w:sz w:val="22"/>
          <w:szCs w:val="22"/>
          <w:lang w:val="en-US" w:eastAsia="ja-JP"/>
        </w:rPr>
      </w:r>
      <w:r>
        <w:rPr>
          <w:sz w:val="22"/>
          <w:szCs w:val="22"/>
          <w:lang w:val="en-US" w:eastAsia="ja-JP"/>
        </w:rPr>
        <w:instrText xml:space="preserve"> \* MERGEFORMAT </w:instrText>
      </w:r>
      <w:r>
        <w:rPr>
          <w:sz w:val="22"/>
          <w:szCs w:val="22"/>
          <w:lang w:val="en-US" w:eastAsia="ja-JP"/>
        </w:rPr>
        <w:fldChar w:fldCharType="separate"/>
      </w:r>
      <w:r w:rsidRPr="00597900">
        <w:rPr>
          <w:sz w:val="22"/>
          <w:szCs w:val="22"/>
        </w:rPr>
        <w:t xml:space="preserve">Figure </w:t>
      </w:r>
      <w:r w:rsidRPr="00597900">
        <w:rPr>
          <w:noProof/>
          <w:sz w:val="22"/>
          <w:szCs w:val="22"/>
        </w:rPr>
        <w:t>2</w:t>
      </w:r>
      <w:r>
        <w:rPr>
          <w:sz w:val="22"/>
          <w:szCs w:val="22"/>
          <w:lang w:val="en-US" w:eastAsia="ja-JP"/>
        </w:rPr>
        <w:fldChar w:fldCharType="end"/>
      </w:r>
      <w:r>
        <w:rPr>
          <w:sz w:val="22"/>
          <w:szCs w:val="22"/>
          <w:lang w:val="en-US" w:eastAsia="ja-JP"/>
        </w:rPr>
        <w:t>.</w:t>
      </w:r>
    </w:p>
    <w:p w:rsidR="00296E2D" w:rsidRPr="00597900" w:rsidRDefault="00296E2D" w:rsidP="00952D6D">
      <w:pPr>
        <w:rPr>
          <w:sz w:val="22"/>
          <w:szCs w:val="22"/>
          <w:lang w:val="en-US" w:eastAsia="ja-JP"/>
        </w:rPr>
      </w:pPr>
    </w:p>
    <w:p w:rsidR="00952D6D" w:rsidRPr="00597900" w:rsidRDefault="00C36EE0" w:rsidP="00952D6D">
      <w:pPr>
        <w:keepNext/>
        <w:jc w:val="center"/>
        <w:rPr>
          <w:sz w:val="22"/>
          <w:szCs w:val="22"/>
          <w:lang w:val="en-US"/>
        </w:rPr>
      </w:pPr>
      <w:r w:rsidRPr="00597900">
        <w:rPr>
          <w:sz w:val="22"/>
          <w:szCs w:val="22"/>
          <w:lang w:val="en-US"/>
        </w:rPr>
        <w:object w:dxaOrig="9600" w:dyaOrig="2311">
          <v:shape id="_x0000_i1026" type="#_x0000_t75" style="width:388.8pt;height:93.3pt" o:ole="">
            <v:imagedata r:id="rId11" o:title=""/>
          </v:shape>
          <o:OLEObject Type="Embed" ProgID="Visio.Drawing.15" ShapeID="_x0000_i1026" DrawAspect="Content" ObjectID="_1532522575" r:id="rId12"/>
        </w:object>
      </w:r>
    </w:p>
    <w:p w:rsidR="00952D6D" w:rsidRPr="00597900" w:rsidRDefault="00952D6D" w:rsidP="00952D6D">
      <w:pPr>
        <w:pStyle w:val="Caption"/>
        <w:rPr>
          <w:b w:val="0"/>
          <w:szCs w:val="22"/>
        </w:rPr>
      </w:pPr>
      <w:bookmarkStart w:id="4" w:name="_Ref458764002"/>
      <w:r w:rsidRPr="00597900">
        <w:rPr>
          <w:szCs w:val="22"/>
        </w:rPr>
        <w:t xml:space="preserve">Figure </w:t>
      </w:r>
      <w:r w:rsidRPr="00597900">
        <w:rPr>
          <w:szCs w:val="22"/>
        </w:rPr>
        <w:fldChar w:fldCharType="begin"/>
      </w:r>
      <w:r w:rsidRPr="00597900">
        <w:rPr>
          <w:szCs w:val="22"/>
        </w:rPr>
        <w:instrText xml:space="preserve"> SEQ Figure \* ARABIC </w:instrText>
      </w:r>
      <w:r w:rsidRPr="00597900">
        <w:rPr>
          <w:szCs w:val="22"/>
        </w:rPr>
        <w:fldChar w:fldCharType="separate"/>
      </w:r>
      <w:r w:rsidR="00625B40">
        <w:rPr>
          <w:noProof/>
          <w:szCs w:val="22"/>
        </w:rPr>
        <w:t>2</w:t>
      </w:r>
      <w:r w:rsidRPr="00597900">
        <w:rPr>
          <w:szCs w:val="22"/>
        </w:rPr>
        <w:fldChar w:fldCharType="end"/>
      </w:r>
      <w:bookmarkEnd w:id="4"/>
      <w:r w:rsidRPr="00597900">
        <w:rPr>
          <w:szCs w:val="22"/>
        </w:rPr>
        <w:t xml:space="preserve">: </w:t>
      </w:r>
      <w:r w:rsidRPr="00597900">
        <w:rPr>
          <w:b w:val="0"/>
          <w:szCs w:val="22"/>
        </w:rPr>
        <w:t>Maximum frequency offset between UE reference frequency and target cell when the UE’s synchronization source is RAN.</w:t>
      </w:r>
    </w:p>
    <w:p w:rsidR="00952D6D" w:rsidRPr="00597900" w:rsidRDefault="00952D6D" w:rsidP="00952D6D">
      <w:pPr>
        <w:rPr>
          <w:sz w:val="22"/>
          <w:szCs w:val="22"/>
          <w:lang w:val="en-US"/>
        </w:rPr>
      </w:pPr>
    </w:p>
    <w:p w:rsidR="00952D6D" w:rsidRDefault="00C36EE0" w:rsidP="006D1D74">
      <w:pPr>
        <w:jc w:val="both"/>
        <w:rPr>
          <w:sz w:val="22"/>
          <w:szCs w:val="22"/>
          <w:lang w:val="en-US"/>
        </w:rPr>
      </w:pPr>
      <w:r>
        <w:rPr>
          <w:sz w:val="22"/>
          <w:szCs w:val="22"/>
          <w:lang w:val="en-US"/>
        </w:rPr>
        <w:t xml:space="preserve">In legacy LTE cell </w:t>
      </w:r>
      <w:r w:rsidR="00384EAF">
        <w:rPr>
          <w:sz w:val="22"/>
          <w:szCs w:val="22"/>
          <w:lang w:val="en-US"/>
        </w:rPr>
        <w:t>identification under</w:t>
      </w:r>
      <w:r>
        <w:rPr>
          <w:sz w:val="22"/>
          <w:szCs w:val="22"/>
          <w:lang w:val="en-US"/>
        </w:rPr>
        <w:t xml:space="preserve"> such la</w:t>
      </w:r>
      <w:r w:rsidR="00384EAF">
        <w:rPr>
          <w:sz w:val="22"/>
          <w:szCs w:val="22"/>
          <w:lang w:val="en-US"/>
        </w:rPr>
        <w:t xml:space="preserve">rge frequency offsets has not been tested, despite that it may arise in particular high speed train scenarios. Instead cell identification under large frequency offsets has been left to UE implementation and has been associated mainly with cell selection at power on, where the frequency uncertainty comes from that the XO or PLLs are </w:t>
      </w:r>
      <w:proofErr w:type="spellStart"/>
      <w:r w:rsidR="00384EAF">
        <w:rPr>
          <w:sz w:val="22"/>
          <w:szCs w:val="22"/>
          <w:lang w:val="en-US"/>
        </w:rPr>
        <w:t>untuned</w:t>
      </w:r>
      <w:proofErr w:type="spellEnd"/>
      <w:r w:rsidR="00384EAF">
        <w:rPr>
          <w:sz w:val="22"/>
          <w:szCs w:val="22"/>
          <w:lang w:val="en-US"/>
        </w:rPr>
        <w:t>.</w:t>
      </w:r>
    </w:p>
    <w:p w:rsidR="00384EAF" w:rsidRDefault="00384EAF" w:rsidP="006D1D74">
      <w:pPr>
        <w:jc w:val="both"/>
        <w:rPr>
          <w:sz w:val="22"/>
          <w:szCs w:val="22"/>
          <w:lang w:val="en-US"/>
        </w:rPr>
      </w:pPr>
      <w:r>
        <w:rPr>
          <w:sz w:val="22"/>
          <w:szCs w:val="22"/>
          <w:lang w:val="en-US"/>
        </w:rPr>
        <w:t>Cell identification is based on three steps:</w:t>
      </w:r>
    </w:p>
    <w:p w:rsidR="00384EAF" w:rsidRDefault="00384EAF" w:rsidP="006D1D74">
      <w:pPr>
        <w:pStyle w:val="ListParagraph"/>
        <w:numPr>
          <w:ilvl w:val="0"/>
          <w:numId w:val="15"/>
        </w:numPr>
        <w:jc w:val="both"/>
        <w:rPr>
          <w:sz w:val="22"/>
          <w:szCs w:val="22"/>
          <w:lang w:val="en-US"/>
        </w:rPr>
      </w:pPr>
      <w:r>
        <w:rPr>
          <w:sz w:val="22"/>
          <w:szCs w:val="22"/>
          <w:lang w:val="en-US"/>
        </w:rPr>
        <w:t xml:space="preserve">Detect a primary synchronization signal, which is transmitted every 5ms, carries an identity NID2 which can be 0, 1 or 2, and indicates the position of a secondary synchronization signal </w:t>
      </w:r>
    </w:p>
    <w:p w:rsidR="00384EAF" w:rsidRDefault="00384EAF" w:rsidP="006D1D74">
      <w:pPr>
        <w:pStyle w:val="ListParagraph"/>
        <w:numPr>
          <w:ilvl w:val="0"/>
          <w:numId w:val="15"/>
        </w:numPr>
        <w:jc w:val="both"/>
        <w:rPr>
          <w:sz w:val="22"/>
          <w:szCs w:val="22"/>
          <w:lang w:val="en-US"/>
        </w:rPr>
      </w:pPr>
      <w:r>
        <w:rPr>
          <w:sz w:val="22"/>
          <w:szCs w:val="22"/>
          <w:lang w:val="en-US"/>
        </w:rPr>
        <w:t>Detect a secondary synchronization signal based on the timing position indicated by the primary synchronization signal, where the secondary synchronization signal carries a cell group identity NID1 in the range 0 to 167 and further carries timing information</w:t>
      </w:r>
    </w:p>
    <w:p w:rsidR="00D157D1" w:rsidRDefault="00384EAF" w:rsidP="006D1D74">
      <w:pPr>
        <w:pStyle w:val="ListParagraph"/>
        <w:numPr>
          <w:ilvl w:val="0"/>
          <w:numId w:val="15"/>
        </w:numPr>
        <w:jc w:val="both"/>
        <w:rPr>
          <w:sz w:val="22"/>
          <w:szCs w:val="22"/>
          <w:lang w:val="en-US"/>
        </w:rPr>
      </w:pPr>
      <w:r>
        <w:rPr>
          <w:sz w:val="22"/>
          <w:szCs w:val="22"/>
          <w:lang w:val="en-US"/>
        </w:rPr>
        <w:t xml:space="preserve">Carry out RSRP and RSRQ measurements on the cell </w:t>
      </w:r>
      <w:r w:rsidR="00D157D1">
        <w:rPr>
          <w:sz w:val="22"/>
          <w:szCs w:val="22"/>
          <w:lang w:val="en-US"/>
        </w:rPr>
        <w:t>with identity PCI =</w:t>
      </w:r>
      <w:r w:rsidR="00AF193A">
        <w:rPr>
          <w:sz w:val="22"/>
          <w:szCs w:val="22"/>
          <w:lang w:val="en-US"/>
        </w:rPr>
        <w:t xml:space="preserve"> </w:t>
      </w:r>
      <w:r w:rsidR="00D157D1">
        <w:rPr>
          <w:sz w:val="22"/>
          <w:szCs w:val="22"/>
          <w:lang w:val="en-US"/>
        </w:rPr>
        <w:t>3•NID1+NID2 and with frame timing given by the synchronization signals.</w:t>
      </w:r>
    </w:p>
    <w:p w:rsidR="00952D6D" w:rsidRDefault="00D157D1" w:rsidP="006D1D74">
      <w:pPr>
        <w:jc w:val="both"/>
        <w:rPr>
          <w:sz w:val="22"/>
          <w:szCs w:val="22"/>
          <w:lang w:val="en-US"/>
        </w:rPr>
      </w:pPr>
      <w:r>
        <w:rPr>
          <w:sz w:val="22"/>
          <w:szCs w:val="22"/>
          <w:lang w:val="en-US"/>
        </w:rPr>
        <w:t>As shown in our companion paper</w:t>
      </w:r>
      <w:r w:rsidRPr="00D157D1">
        <w:rPr>
          <w:sz w:val="22"/>
          <w:szCs w:val="22"/>
          <w:lang w:val="en-US"/>
        </w:rPr>
        <w:t xml:space="preserve"> </w:t>
      </w:r>
      <w:r>
        <w:rPr>
          <w:sz w:val="22"/>
          <w:szCs w:val="22"/>
          <w:lang w:val="en-US"/>
        </w:rPr>
        <w:fldChar w:fldCharType="begin"/>
      </w:r>
      <w:r>
        <w:rPr>
          <w:sz w:val="22"/>
          <w:szCs w:val="22"/>
          <w:lang w:val="en-US"/>
        </w:rPr>
        <w:instrText xml:space="preserve"> REF _Ref458773827 \r \h </w:instrText>
      </w:r>
      <w:r>
        <w:rPr>
          <w:sz w:val="22"/>
          <w:szCs w:val="22"/>
          <w:lang w:val="en-US"/>
        </w:rPr>
      </w:r>
      <w:r w:rsidR="006D1D74">
        <w:rPr>
          <w:sz w:val="22"/>
          <w:szCs w:val="22"/>
          <w:lang w:val="en-US"/>
        </w:rPr>
        <w:instrText xml:space="preserve"> \* MERGEFORMAT </w:instrText>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 xml:space="preserve"> RSRP and RSRQ measurements are robust against carrier frequency offsets provided that such measurements are carried out in a symbol-based fashion, i.e., where it is avoided to coherently average channel samples from different OFDM symbols.</w:t>
      </w:r>
      <w:r w:rsidR="002729E3">
        <w:rPr>
          <w:sz w:val="22"/>
          <w:szCs w:val="22"/>
          <w:lang w:val="en-US"/>
        </w:rPr>
        <w:t xml:space="preserve"> </w:t>
      </w:r>
    </w:p>
    <w:p w:rsidR="002729E3" w:rsidRDefault="002729E3" w:rsidP="006D1D74">
      <w:pPr>
        <w:jc w:val="both"/>
        <w:rPr>
          <w:sz w:val="22"/>
          <w:szCs w:val="22"/>
          <w:lang w:val="en-US"/>
        </w:rPr>
      </w:pPr>
      <w:r>
        <w:rPr>
          <w:sz w:val="22"/>
          <w:szCs w:val="22"/>
          <w:lang w:val="en-US"/>
        </w:rPr>
        <w:t xml:space="preserve">The primary synchronization signal has been designed with robustness to frequency offsets in mind, although for very large offsets (±30 kHz) that may arise in cell selection at power on there may be ambiguities </w:t>
      </w:r>
      <w:r>
        <w:rPr>
          <w:sz w:val="22"/>
          <w:szCs w:val="22"/>
          <w:lang w:val="en-US"/>
        </w:rPr>
        <w:lastRenderedPageBreak/>
        <w:t xml:space="preserve">regarding the time and frequency. </w:t>
      </w:r>
      <w:r w:rsidR="006D1D74">
        <w:rPr>
          <w:sz w:val="22"/>
          <w:szCs w:val="22"/>
          <w:lang w:val="en-US"/>
        </w:rPr>
        <w:t xml:space="preserve">It is based on a </w:t>
      </w:r>
      <w:proofErr w:type="spellStart"/>
      <w:r w:rsidR="006D1D74" w:rsidRPr="00597900">
        <w:rPr>
          <w:sz w:val="22"/>
          <w:szCs w:val="22"/>
          <w:lang w:eastAsia="zh-CN"/>
        </w:rPr>
        <w:t>Zadoff</w:t>
      </w:r>
      <w:proofErr w:type="spellEnd"/>
      <w:r w:rsidR="006D1D74" w:rsidRPr="00597900">
        <w:rPr>
          <w:sz w:val="22"/>
          <w:szCs w:val="22"/>
          <w:lang w:eastAsia="zh-CN"/>
        </w:rPr>
        <w:t>-Chu sequence</w:t>
      </w:r>
      <w:r w:rsidR="006D1D74">
        <w:rPr>
          <w:sz w:val="22"/>
          <w:szCs w:val="22"/>
          <w:lang w:eastAsia="zh-CN"/>
        </w:rPr>
        <w:t xml:space="preserve"> whose correlation properties in the time-frequency plane are shown in </w:t>
      </w:r>
      <w:r w:rsidR="006D1D74" w:rsidRPr="006D1D74">
        <w:rPr>
          <w:sz w:val="22"/>
          <w:szCs w:val="22"/>
          <w:lang w:eastAsia="zh-CN"/>
        </w:rPr>
        <w:fldChar w:fldCharType="begin"/>
      </w:r>
      <w:r w:rsidR="006D1D74" w:rsidRPr="006D1D74">
        <w:rPr>
          <w:sz w:val="22"/>
          <w:szCs w:val="22"/>
          <w:lang w:eastAsia="zh-CN"/>
        </w:rPr>
        <w:instrText xml:space="preserve"> REF _Ref458775416 \h </w:instrText>
      </w:r>
      <w:r w:rsidR="006D1D74" w:rsidRPr="006D1D74">
        <w:rPr>
          <w:sz w:val="22"/>
          <w:szCs w:val="22"/>
          <w:lang w:eastAsia="zh-CN"/>
        </w:rPr>
      </w:r>
      <w:r w:rsidR="006D1D74">
        <w:rPr>
          <w:sz w:val="22"/>
          <w:szCs w:val="22"/>
          <w:lang w:eastAsia="zh-CN"/>
        </w:rPr>
        <w:instrText xml:space="preserve"> \* MERGEFORMAT </w:instrText>
      </w:r>
      <w:r w:rsidR="006D1D74" w:rsidRPr="006D1D74">
        <w:rPr>
          <w:sz w:val="22"/>
          <w:szCs w:val="22"/>
          <w:lang w:eastAsia="zh-CN"/>
        </w:rPr>
        <w:fldChar w:fldCharType="separate"/>
      </w:r>
      <w:r w:rsidR="006D1D74" w:rsidRPr="006D1D74">
        <w:rPr>
          <w:sz w:val="22"/>
          <w:szCs w:val="22"/>
        </w:rPr>
        <w:t xml:space="preserve">Figure </w:t>
      </w:r>
      <w:r w:rsidR="006D1D74" w:rsidRPr="006D1D74">
        <w:rPr>
          <w:noProof/>
          <w:sz w:val="22"/>
          <w:szCs w:val="22"/>
        </w:rPr>
        <w:t>3</w:t>
      </w:r>
      <w:r w:rsidR="006D1D74" w:rsidRPr="006D1D74">
        <w:rPr>
          <w:sz w:val="22"/>
          <w:szCs w:val="22"/>
          <w:lang w:eastAsia="zh-CN"/>
        </w:rPr>
        <w:fldChar w:fldCharType="end"/>
      </w:r>
      <w:r w:rsidR="00210291">
        <w:rPr>
          <w:sz w:val="22"/>
          <w:szCs w:val="22"/>
          <w:lang w:eastAsia="zh-CN"/>
        </w:rPr>
        <w:t xml:space="preserve"> when sampled at 1.92MHz and with frequency offsets in the range -50 to 50 kHz.</w:t>
      </w:r>
    </w:p>
    <w:p w:rsidR="00C86902" w:rsidRDefault="00DF244C" w:rsidP="00C86902">
      <w:pPr>
        <w:keepNext/>
        <w:jc w:val="both"/>
      </w:pPr>
      <w:r>
        <w:rPr>
          <w:sz w:val="22"/>
          <w:szCs w:val="22"/>
          <w:lang w:eastAsia="zh-CN"/>
        </w:rPr>
        <w:t xml:space="preserve"> </w:t>
      </w:r>
      <w:r w:rsidR="00DE10F2">
        <w:rPr>
          <w:sz w:val="22"/>
          <w:szCs w:val="22"/>
          <w:lang w:eastAsia="zh-CN"/>
        </w:rPr>
        <w:t xml:space="preserve"> </w:t>
      </w:r>
      <w:r w:rsidR="00C86902">
        <w:rPr>
          <w:noProof/>
          <w:lang w:eastAsia="zh-CN"/>
        </w:rPr>
        <w:drawing>
          <wp:inline distT="0" distB="0" distL="0" distR="0" wp14:anchorId="0EF46AE9" wp14:editId="51B6140E">
            <wp:extent cx="2925348" cy="2199735"/>
            <wp:effectExtent l="0" t="0" r="8890" b="0"/>
            <wp:docPr id="1" name="Picture 1" descr="cid00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id00b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5554" cy="2199890"/>
                    </a:xfrm>
                    <a:prstGeom prst="rect">
                      <a:avLst/>
                    </a:prstGeom>
                    <a:noFill/>
                    <a:ln>
                      <a:noFill/>
                    </a:ln>
                  </pic:spPr>
                </pic:pic>
              </a:graphicData>
            </a:graphic>
          </wp:inline>
        </w:drawing>
      </w:r>
      <w:r w:rsidR="00C86902">
        <w:rPr>
          <w:noProof/>
          <w:lang w:eastAsia="zh-CN"/>
        </w:rPr>
        <w:drawing>
          <wp:inline distT="0" distB="0" distL="0" distR="0" wp14:anchorId="512C4BC1" wp14:editId="2B630FD2">
            <wp:extent cx="2890932" cy="2173856"/>
            <wp:effectExtent l="0" t="0" r="5080" b="0"/>
            <wp:docPr id="2" name="Picture 2" descr="cid11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id11bw"/>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1135" cy="2174009"/>
                    </a:xfrm>
                    <a:prstGeom prst="rect">
                      <a:avLst/>
                    </a:prstGeom>
                    <a:noFill/>
                    <a:ln>
                      <a:noFill/>
                    </a:ln>
                  </pic:spPr>
                </pic:pic>
              </a:graphicData>
            </a:graphic>
          </wp:inline>
        </w:drawing>
      </w:r>
      <w:r w:rsidR="00C86902">
        <w:rPr>
          <w:noProof/>
          <w:lang w:eastAsia="zh-CN"/>
        </w:rPr>
        <w:drawing>
          <wp:inline distT="0" distB="0" distL="0" distR="0" wp14:anchorId="1262A390" wp14:editId="6D298E98">
            <wp:extent cx="2931171" cy="2204113"/>
            <wp:effectExtent l="0" t="0" r="2540" b="5715"/>
            <wp:docPr id="3" name="Picture 3" descr="cid22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id22b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728" cy="2204532"/>
                    </a:xfrm>
                    <a:prstGeom prst="rect">
                      <a:avLst/>
                    </a:prstGeom>
                    <a:noFill/>
                    <a:ln>
                      <a:noFill/>
                    </a:ln>
                  </pic:spPr>
                </pic:pic>
              </a:graphicData>
            </a:graphic>
          </wp:inline>
        </w:drawing>
      </w:r>
    </w:p>
    <w:p w:rsidR="00412F61" w:rsidRPr="00952D6D" w:rsidRDefault="00C86902" w:rsidP="00A23E9B">
      <w:pPr>
        <w:pStyle w:val="Caption"/>
        <w:tabs>
          <w:tab w:val="left" w:pos="8623"/>
        </w:tabs>
        <w:rPr>
          <w:b w:val="0"/>
          <w:sz w:val="24"/>
          <w:szCs w:val="22"/>
          <w:lang w:eastAsia="zh-CN"/>
        </w:rPr>
      </w:pPr>
      <w:bookmarkStart w:id="5" w:name="_Ref458775416"/>
      <w:r w:rsidRPr="00C86902">
        <w:t xml:space="preserve">Figure </w:t>
      </w:r>
      <w:r w:rsidR="00C46FA3">
        <w:fldChar w:fldCharType="begin"/>
      </w:r>
      <w:r w:rsidR="00C46FA3">
        <w:instrText xml:space="preserve"> SEQ Figure \* ARABIC </w:instrText>
      </w:r>
      <w:r w:rsidR="00C46FA3">
        <w:fldChar w:fldCharType="separate"/>
      </w:r>
      <w:r w:rsidR="00625B40">
        <w:rPr>
          <w:noProof/>
        </w:rPr>
        <w:t>3</w:t>
      </w:r>
      <w:r w:rsidR="00C46FA3">
        <w:rPr>
          <w:noProof/>
        </w:rPr>
        <w:fldChar w:fldCharType="end"/>
      </w:r>
      <w:bookmarkEnd w:id="5"/>
      <w:r w:rsidRPr="00C86902">
        <w:t xml:space="preserve">: </w:t>
      </w:r>
      <w:r w:rsidRPr="00952D6D">
        <w:rPr>
          <w:b w:val="0"/>
        </w:rPr>
        <w:t xml:space="preserve">Cyclic time-domain correlation properties of </w:t>
      </w:r>
      <w:proofErr w:type="spellStart"/>
      <w:r w:rsidRPr="00952D6D">
        <w:rPr>
          <w:b w:val="0"/>
        </w:rPr>
        <w:t>Zadoff</w:t>
      </w:r>
      <w:proofErr w:type="spellEnd"/>
      <w:r w:rsidRPr="00952D6D">
        <w:rPr>
          <w:b w:val="0"/>
        </w:rPr>
        <w:t xml:space="preserve">-Chu for Cell IDs 0 (top left), 1 (top right) and 2 (bottom left) in presence of frequency offset. Sampling rate is 1.92 </w:t>
      </w:r>
      <w:proofErr w:type="spellStart"/>
      <w:r w:rsidRPr="00952D6D">
        <w:rPr>
          <w:b w:val="0"/>
        </w:rPr>
        <w:t>MHz.</w:t>
      </w:r>
      <w:proofErr w:type="spellEnd"/>
    </w:p>
    <w:p w:rsidR="008D2CFE" w:rsidRDefault="008D2CFE" w:rsidP="00A23E9B">
      <w:pPr>
        <w:tabs>
          <w:tab w:val="left" w:pos="8789"/>
        </w:tabs>
        <w:rPr>
          <w:sz w:val="22"/>
          <w:szCs w:val="22"/>
          <w:lang w:val="en-US"/>
        </w:rPr>
      </w:pPr>
    </w:p>
    <w:p w:rsidR="00A23E9B" w:rsidRDefault="00A23E9B" w:rsidP="00EB2B5A">
      <w:pPr>
        <w:jc w:val="both"/>
        <w:rPr>
          <w:sz w:val="22"/>
          <w:szCs w:val="22"/>
          <w:lang w:val="en-US"/>
        </w:rPr>
      </w:pPr>
      <w:r>
        <w:rPr>
          <w:sz w:val="22"/>
          <w:szCs w:val="22"/>
          <w:lang w:val="en-US"/>
        </w:rPr>
        <w:t>Looking closer at the correlation properties within the frequency offset range -2.78 to 2.78 kHz one can see that there is a degradation of about 10 to 15%</w:t>
      </w:r>
      <w:r w:rsidR="00EB2B5A">
        <w:rPr>
          <w:sz w:val="22"/>
          <w:szCs w:val="22"/>
          <w:lang w:val="en-US"/>
        </w:rPr>
        <w:t xml:space="preserve"> which transfers into a reduced sensitivity, i.e., increased rate of missed detections; </w:t>
      </w:r>
      <w:r w:rsidR="00EB2B5A" w:rsidRPr="00EB2B5A">
        <w:rPr>
          <w:sz w:val="22"/>
          <w:szCs w:val="22"/>
          <w:lang w:val="en-US"/>
        </w:rPr>
        <w:fldChar w:fldCharType="begin"/>
      </w:r>
      <w:r w:rsidR="00EB2B5A" w:rsidRPr="00EB2B5A">
        <w:rPr>
          <w:sz w:val="22"/>
          <w:szCs w:val="22"/>
          <w:lang w:val="en-US"/>
        </w:rPr>
        <w:instrText xml:space="preserve"> REF _Ref458776300 \h </w:instrText>
      </w:r>
      <w:r w:rsidR="00EB2B5A" w:rsidRPr="00EB2B5A">
        <w:rPr>
          <w:sz w:val="22"/>
          <w:szCs w:val="22"/>
          <w:lang w:val="en-US"/>
        </w:rPr>
      </w:r>
      <w:r w:rsidR="00EB2B5A">
        <w:rPr>
          <w:sz w:val="22"/>
          <w:szCs w:val="22"/>
          <w:lang w:val="en-US"/>
        </w:rPr>
        <w:instrText xml:space="preserve"> \* MERGEFORMAT </w:instrText>
      </w:r>
      <w:r w:rsidR="00EB2B5A" w:rsidRPr="00EB2B5A">
        <w:rPr>
          <w:sz w:val="22"/>
          <w:szCs w:val="22"/>
          <w:lang w:val="en-US"/>
        </w:rPr>
        <w:fldChar w:fldCharType="separate"/>
      </w:r>
      <w:r w:rsidR="00EB2B5A" w:rsidRPr="00EB2B5A">
        <w:rPr>
          <w:sz w:val="22"/>
          <w:szCs w:val="22"/>
        </w:rPr>
        <w:t xml:space="preserve">Figure </w:t>
      </w:r>
      <w:r w:rsidR="00EB2B5A" w:rsidRPr="00EB2B5A">
        <w:rPr>
          <w:noProof/>
          <w:sz w:val="22"/>
          <w:szCs w:val="22"/>
        </w:rPr>
        <w:t>4</w:t>
      </w:r>
      <w:r w:rsidR="00EB2B5A" w:rsidRPr="00EB2B5A">
        <w:rPr>
          <w:sz w:val="22"/>
          <w:szCs w:val="22"/>
          <w:lang w:val="en-US"/>
        </w:rPr>
        <w:fldChar w:fldCharType="end"/>
      </w:r>
      <w:r w:rsidR="00EB2B5A">
        <w:rPr>
          <w:sz w:val="22"/>
          <w:szCs w:val="22"/>
          <w:lang w:val="en-US"/>
        </w:rPr>
        <w:t>.</w:t>
      </w:r>
    </w:p>
    <w:p w:rsidR="00A23E9B" w:rsidRDefault="00A23E9B" w:rsidP="00575E80">
      <w:pPr>
        <w:rPr>
          <w:sz w:val="22"/>
          <w:szCs w:val="22"/>
          <w:lang w:val="en-US"/>
        </w:rPr>
      </w:pPr>
    </w:p>
    <w:p w:rsidR="00C86902" w:rsidRDefault="00C86902" w:rsidP="00C86902">
      <w:pPr>
        <w:keepNext/>
      </w:pPr>
      <w:r w:rsidRPr="00C86902">
        <w:rPr>
          <w:noProof/>
          <w:sz w:val="22"/>
          <w:szCs w:val="22"/>
          <w:lang w:eastAsia="zh-CN"/>
        </w:rPr>
        <w:drawing>
          <wp:inline distT="0" distB="0" distL="0" distR="0" wp14:anchorId="578E6C27" wp14:editId="0DD808FC">
            <wp:extent cx="5972810" cy="1890395"/>
            <wp:effectExtent l="0" t="0" r="8890" b="0"/>
            <wp:docPr id="11271" name="Picture 12" descr="max_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 name="Picture 12" descr="max_c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2810" cy="1890395"/>
                    </a:xfrm>
                    <a:prstGeom prst="rect">
                      <a:avLst/>
                    </a:prstGeom>
                    <a:noFill/>
                    <a:ln>
                      <a:noFill/>
                    </a:ln>
                    <a:extLst/>
                  </pic:spPr>
                </pic:pic>
              </a:graphicData>
            </a:graphic>
          </wp:inline>
        </w:drawing>
      </w:r>
    </w:p>
    <w:p w:rsidR="00C86902" w:rsidRDefault="00C86902" w:rsidP="00952D6D">
      <w:pPr>
        <w:pStyle w:val="Caption"/>
        <w:rPr>
          <w:b w:val="0"/>
        </w:rPr>
      </w:pPr>
      <w:bookmarkStart w:id="6" w:name="_Ref458776300"/>
      <w:r w:rsidRPr="001036EC">
        <w:t xml:space="preserve">Figure </w:t>
      </w:r>
      <w:r w:rsidR="00C46FA3">
        <w:fldChar w:fldCharType="begin"/>
      </w:r>
      <w:r w:rsidR="00C46FA3">
        <w:instrText xml:space="preserve"> SEQ Figure \* ARABIC </w:instrText>
      </w:r>
      <w:r w:rsidR="00C46FA3">
        <w:fldChar w:fldCharType="separate"/>
      </w:r>
      <w:r w:rsidR="00625B40">
        <w:rPr>
          <w:noProof/>
        </w:rPr>
        <w:t>4</w:t>
      </w:r>
      <w:r w:rsidR="00C46FA3">
        <w:rPr>
          <w:noProof/>
        </w:rPr>
        <w:fldChar w:fldCharType="end"/>
      </w:r>
      <w:bookmarkEnd w:id="6"/>
      <w:r w:rsidRPr="001036EC">
        <w:t xml:space="preserve">: </w:t>
      </w:r>
      <w:r w:rsidRPr="00952D6D">
        <w:rPr>
          <w:b w:val="0"/>
        </w:rPr>
        <w:t>Maximum correlation magnitude as function of frequency</w:t>
      </w:r>
      <w:r w:rsidR="001036EC" w:rsidRPr="00952D6D">
        <w:rPr>
          <w:b w:val="0"/>
        </w:rPr>
        <w:t xml:space="preserve"> offset</w:t>
      </w:r>
      <w:r w:rsidR="00625B40">
        <w:rPr>
          <w:b w:val="0"/>
        </w:rPr>
        <w:t xml:space="preserve"> for primary synchronization signal</w:t>
      </w:r>
      <w:r w:rsidRPr="00952D6D">
        <w:rPr>
          <w:b w:val="0"/>
        </w:rPr>
        <w:t xml:space="preserve">. Sampling rate is 1.92 </w:t>
      </w:r>
      <w:proofErr w:type="spellStart"/>
      <w:r w:rsidRPr="00952D6D">
        <w:rPr>
          <w:b w:val="0"/>
        </w:rPr>
        <w:t>MHz.</w:t>
      </w:r>
      <w:proofErr w:type="spellEnd"/>
    </w:p>
    <w:p w:rsidR="007D1542" w:rsidRDefault="007D1542" w:rsidP="007D1542">
      <w:pPr>
        <w:rPr>
          <w:lang w:val="en-US" w:eastAsia="ja-JP"/>
        </w:rPr>
      </w:pPr>
    </w:p>
    <w:p w:rsidR="00625B40" w:rsidRPr="00625B40" w:rsidRDefault="00625B40" w:rsidP="00BC37F0">
      <w:pPr>
        <w:keepNext/>
        <w:jc w:val="both"/>
        <w:rPr>
          <w:sz w:val="22"/>
          <w:szCs w:val="22"/>
        </w:rPr>
      </w:pPr>
      <w:r w:rsidRPr="00625B40">
        <w:rPr>
          <w:sz w:val="22"/>
          <w:szCs w:val="22"/>
        </w:rPr>
        <w:lastRenderedPageBreak/>
        <w:t xml:space="preserve">The same observation as </w:t>
      </w:r>
      <w:r>
        <w:rPr>
          <w:sz w:val="22"/>
          <w:szCs w:val="22"/>
        </w:rPr>
        <w:t xml:space="preserve">for the primary synchronization signal can be made for the secondary synchronization signal although it is constructed by shifted and interleaved M-sequences instead of </w:t>
      </w:r>
      <w:proofErr w:type="spellStart"/>
      <w:r>
        <w:rPr>
          <w:sz w:val="22"/>
          <w:szCs w:val="22"/>
        </w:rPr>
        <w:t>Zadoff</w:t>
      </w:r>
      <w:proofErr w:type="spellEnd"/>
      <w:r>
        <w:rPr>
          <w:sz w:val="22"/>
          <w:szCs w:val="22"/>
        </w:rPr>
        <w:t xml:space="preserve">-Chu sequences. Within the frequency offset range </w:t>
      </w:r>
      <w:r>
        <w:rPr>
          <w:sz w:val="22"/>
          <w:szCs w:val="22"/>
          <w:lang w:val="en-US"/>
        </w:rPr>
        <w:t>-2.78 to 2.78 kHz</w:t>
      </w:r>
      <w:r>
        <w:rPr>
          <w:sz w:val="22"/>
          <w:szCs w:val="22"/>
          <w:lang w:val="en-US"/>
        </w:rPr>
        <w:t xml:space="preserve"> the degradation of up to about 10%, which transfers to an increased risk for detecting incorrect cell group particularly at low SNR; </w:t>
      </w:r>
      <w:r w:rsidRPr="00625B40">
        <w:rPr>
          <w:sz w:val="22"/>
          <w:szCs w:val="22"/>
          <w:lang w:val="en-US"/>
        </w:rPr>
        <w:fldChar w:fldCharType="begin"/>
      </w:r>
      <w:r w:rsidRPr="00625B40">
        <w:rPr>
          <w:sz w:val="22"/>
          <w:szCs w:val="22"/>
          <w:lang w:val="en-US"/>
        </w:rPr>
        <w:instrText xml:space="preserve"> REF _Ref458778311 \h </w:instrText>
      </w:r>
      <w:r w:rsidRPr="00625B40">
        <w:rPr>
          <w:sz w:val="22"/>
          <w:szCs w:val="22"/>
          <w:lang w:val="en-US"/>
        </w:rPr>
      </w:r>
      <w:r>
        <w:rPr>
          <w:sz w:val="22"/>
          <w:szCs w:val="22"/>
          <w:lang w:val="en-US"/>
        </w:rPr>
        <w:instrText xml:space="preserve"> \* MERGEFORMAT </w:instrText>
      </w:r>
      <w:r w:rsidRPr="00625B40">
        <w:rPr>
          <w:sz w:val="22"/>
          <w:szCs w:val="22"/>
          <w:lang w:val="en-US"/>
        </w:rPr>
        <w:fldChar w:fldCharType="separate"/>
      </w:r>
      <w:r w:rsidRPr="00625B40">
        <w:rPr>
          <w:sz w:val="22"/>
          <w:szCs w:val="22"/>
        </w:rPr>
        <w:t xml:space="preserve">Figure </w:t>
      </w:r>
      <w:r w:rsidRPr="00625B40">
        <w:rPr>
          <w:noProof/>
          <w:sz w:val="22"/>
          <w:szCs w:val="22"/>
        </w:rPr>
        <w:t>5</w:t>
      </w:r>
      <w:r w:rsidRPr="00625B40">
        <w:rPr>
          <w:sz w:val="22"/>
          <w:szCs w:val="22"/>
          <w:lang w:val="en-US"/>
        </w:rPr>
        <w:fldChar w:fldCharType="end"/>
      </w:r>
      <w:r>
        <w:rPr>
          <w:sz w:val="22"/>
          <w:szCs w:val="22"/>
          <w:lang w:val="en-US"/>
        </w:rPr>
        <w:t>.</w:t>
      </w:r>
    </w:p>
    <w:p w:rsidR="00625B40" w:rsidRDefault="00625B40" w:rsidP="00625B40">
      <w:pPr>
        <w:keepNext/>
        <w:jc w:val="center"/>
      </w:pPr>
      <w:r w:rsidRPr="00625B40">
        <w:rPr>
          <w:lang w:val="en-US" w:eastAsia="ja-JP"/>
        </w:rPr>
        <w:drawing>
          <wp:inline distT="0" distB="0" distL="0" distR="0" wp14:anchorId="608BB757" wp14:editId="6B0564D0">
            <wp:extent cx="4242223" cy="2011515"/>
            <wp:effectExtent l="0" t="0" r="635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244741" cy="2012709"/>
                    </a:xfrm>
                    <a:prstGeom prst="rect">
                      <a:avLst/>
                    </a:prstGeom>
                  </pic:spPr>
                </pic:pic>
              </a:graphicData>
            </a:graphic>
          </wp:inline>
        </w:drawing>
      </w:r>
    </w:p>
    <w:p w:rsidR="007D1542" w:rsidRDefault="00625B40" w:rsidP="00625B40">
      <w:pPr>
        <w:pStyle w:val="Caption"/>
        <w:rPr>
          <w:b w:val="0"/>
        </w:rPr>
      </w:pPr>
      <w:bookmarkStart w:id="7" w:name="_Ref458778311"/>
      <w:r>
        <w:t xml:space="preserve">Figure </w:t>
      </w:r>
      <w:r>
        <w:fldChar w:fldCharType="begin"/>
      </w:r>
      <w:r>
        <w:instrText xml:space="preserve"> SEQ Figure \* ARABIC </w:instrText>
      </w:r>
      <w:r>
        <w:fldChar w:fldCharType="separate"/>
      </w:r>
      <w:r>
        <w:rPr>
          <w:noProof/>
        </w:rPr>
        <w:t>5</w:t>
      </w:r>
      <w:r>
        <w:fldChar w:fldCharType="end"/>
      </w:r>
      <w:bookmarkEnd w:id="7"/>
      <w:r>
        <w:t xml:space="preserve">: </w:t>
      </w:r>
      <w:r>
        <w:rPr>
          <w:b w:val="0"/>
        </w:rPr>
        <w:t>Correlation magnitude as function of frequency offset for secondary synchronization signal.</w:t>
      </w:r>
    </w:p>
    <w:p w:rsidR="00BC37F0" w:rsidRDefault="00BC37F0" w:rsidP="00BC37F0">
      <w:pPr>
        <w:rPr>
          <w:lang w:val="en-US" w:eastAsia="ja-JP"/>
        </w:rPr>
      </w:pPr>
    </w:p>
    <w:p w:rsidR="00784D14" w:rsidRPr="00784D14" w:rsidRDefault="00BC37F0" w:rsidP="00BC37F0">
      <w:pPr>
        <w:rPr>
          <w:sz w:val="22"/>
          <w:szCs w:val="22"/>
          <w:lang w:val="en-US" w:eastAsia="ja-JP"/>
        </w:rPr>
      </w:pPr>
      <w:r w:rsidRPr="00BC37F0">
        <w:rPr>
          <w:b/>
          <w:sz w:val="22"/>
          <w:szCs w:val="22"/>
          <w:lang w:val="en-US" w:eastAsia="ja-JP"/>
        </w:rPr>
        <w:t>Observation 1:</w:t>
      </w:r>
      <w:r>
        <w:rPr>
          <w:sz w:val="22"/>
          <w:szCs w:val="22"/>
          <w:lang w:val="en-US" w:eastAsia="ja-JP"/>
        </w:rPr>
        <w:t xml:space="preserve"> The legacy cell identification approach</w:t>
      </w:r>
      <w:r w:rsidR="00784D14">
        <w:rPr>
          <w:sz w:val="22"/>
          <w:szCs w:val="22"/>
          <w:lang w:val="en-US" w:eastAsia="ja-JP"/>
        </w:rPr>
        <w:t xml:space="preserve"> will be applicable also in V2V operation, but the sensitivity (the successful detection ratio) may become lower in the presence of large frequency offsets.</w:t>
      </w:r>
    </w:p>
    <w:p w:rsidR="00BC37F0" w:rsidRPr="00BC37F0" w:rsidRDefault="00BC37F0" w:rsidP="00BC37F0">
      <w:pPr>
        <w:rPr>
          <w:lang w:val="en-US" w:eastAsia="ja-JP"/>
        </w:rPr>
      </w:pPr>
    </w:p>
    <w:p w:rsidR="00886185" w:rsidRDefault="00886185" w:rsidP="00886185">
      <w:pPr>
        <w:pStyle w:val="Heading1"/>
        <w:rPr>
          <w:lang w:val="en-US"/>
        </w:rPr>
      </w:pPr>
      <w:r>
        <w:rPr>
          <w:lang w:val="en-US"/>
        </w:rPr>
        <w:t>Summary</w:t>
      </w:r>
      <w:r w:rsidR="00784D14">
        <w:rPr>
          <w:lang w:val="en-US"/>
        </w:rPr>
        <w:t xml:space="preserve"> and Conclusions</w:t>
      </w:r>
    </w:p>
    <w:p w:rsidR="00784D14" w:rsidRDefault="00784D14" w:rsidP="00784D14">
      <w:pPr>
        <w:jc w:val="both"/>
        <w:rPr>
          <w:sz w:val="22"/>
          <w:lang w:val="en-US"/>
        </w:rPr>
      </w:pPr>
      <w:r w:rsidRPr="00784D14">
        <w:rPr>
          <w:sz w:val="22"/>
          <w:lang w:val="en-US"/>
        </w:rPr>
        <w:t>In this contribution we have</w:t>
      </w:r>
      <w:r>
        <w:rPr>
          <w:sz w:val="22"/>
          <w:lang w:val="en-US"/>
        </w:rPr>
        <w:t xml:space="preserve"> looked at the correlation properties of the primary and secondary synchronization signals in presence of frequency offsets between the UE demodulation frequency and the received carrier frequency of the target cell.</w:t>
      </w:r>
    </w:p>
    <w:p w:rsidR="00784D14" w:rsidRDefault="00784D14" w:rsidP="00784D14">
      <w:pPr>
        <w:jc w:val="both"/>
        <w:rPr>
          <w:sz w:val="22"/>
          <w:lang w:val="en-US"/>
        </w:rPr>
      </w:pPr>
      <w:r>
        <w:rPr>
          <w:sz w:val="22"/>
          <w:lang w:val="en-US"/>
        </w:rPr>
        <w:t>It was found that despite potentially large frequency offsets the legacy approach to cell detection will work, i.e. there should not be a need for e.g. frequency offset grid searches or other approaches associated e.g. with cell selection at power on. It was captured in the following observation.</w:t>
      </w:r>
    </w:p>
    <w:p w:rsidR="00784D14" w:rsidRPr="00784D14" w:rsidRDefault="00784D14" w:rsidP="00784D14">
      <w:pPr>
        <w:rPr>
          <w:sz w:val="22"/>
          <w:szCs w:val="22"/>
          <w:lang w:val="en-US" w:eastAsia="ja-JP"/>
        </w:rPr>
      </w:pPr>
      <w:r w:rsidRPr="00BC37F0">
        <w:rPr>
          <w:b/>
          <w:sz w:val="22"/>
          <w:szCs w:val="22"/>
          <w:lang w:val="en-US" w:eastAsia="ja-JP"/>
        </w:rPr>
        <w:t>Observation 1:</w:t>
      </w:r>
      <w:r>
        <w:rPr>
          <w:sz w:val="22"/>
          <w:szCs w:val="22"/>
          <w:lang w:val="en-US" w:eastAsia="ja-JP"/>
        </w:rPr>
        <w:t xml:space="preserve"> The legacy cell identification approach will be applicable also in V2V operation, but the sensitivity (the successful </w:t>
      </w:r>
      <w:r w:rsidR="00D21205">
        <w:rPr>
          <w:sz w:val="22"/>
          <w:szCs w:val="22"/>
          <w:lang w:val="en-US" w:eastAsia="ja-JP"/>
        </w:rPr>
        <w:t>detection rate</w:t>
      </w:r>
      <w:r>
        <w:rPr>
          <w:sz w:val="22"/>
          <w:szCs w:val="22"/>
          <w:lang w:val="en-US" w:eastAsia="ja-JP"/>
        </w:rPr>
        <w:t>) may become lower in the presence of large frequency offsets.</w:t>
      </w:r>
    </w:p>
    <w:p w:rsidR="00D21205" w:rsidRPr="00D21205" w:rsidRDefault="00D21205" w:rsidP="00784D14">
      <w:pPr>
        <w:rPr>
          <w:sz w:val="22"/>
          <w:lang w:val="en-US"/>
        </w:rPr>
      </w:pPr>
      <w:r>
        <w:rPr>
          <w:sz w:val="22"/>
          <w:lang w:val="en-US"/>
        </w:rPr>
        <w:t>Based on the observation we make the following proposal.</w:t>
      </w:r>
    </w:p>
    <w:p w:rsidR="00D21205" w:rsidRPr="00D21205" w:rsidRDefault="00D21205" w:rsidP="00784D14">
      <w:pPr>
        <w:rPr>
          <w:sz w:val="22"/>
          <w:lang w:val="en-US"/>
        </w:rPr>
      </w:pPr>
      <w:r>
        <w:rPr>
          <w:b/>
          <w:sz w:val="22"/>
          <w:lang w:val="en-US"/>
        </w:rPr>
        <w:t>Proposal 1:</w:t>
      </w:r>
      <w:r>
        <w:rPr>
          <w:sz w:val="22"/>
          <w:lang w:val="en-US"/>
        </w:rPr>
        <w:t xml:space="preserve"> Cell identification times, as achieved by legacy cell identification approaches in presence of frequency offsets that can be encountered in V2V operation, shall be investigated with the purpose of determining the impact of decreased sensitivity on the detection time.</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0"/>
      <w:bookmarkEnd w:id="1"/>
    </w:p>
    <w:p w:rsidR="00597900" w:rsidRDefault="00597900" w:rsidP="00597900">
      <w:pPr>
        <w:numPr>
          <w:ilvl w:val="0"/>
          <w:numId w:val="12"/>
        </w:numPr>
        <w:tabs>
          <w:tab w:val="left" w:pos="851"/>
        </w:tabs>
        <w:rPr>
          <w:rFonts w:ascii="Arial" w:hAnsi="Arial" w:cs="Arial"/>
          <w:sz w:val="22"/>
          <w:szCs w:val="22"/>
          <w:lang w:val="en-US"/>
        </w:rPr>
      </w:pPr>
      <w:bookmarkStart w:id="8" w:name="_Ref458771671"/>
      <w:r w:rsidRPr="0049300C">
        <w:rPr>
          <w:rFonts w:ascii="Arial" w:hAnsi="Arial" w:cs="Arial"/>
          <w:sz w:val="22"/>
          <w:szCs w:val="22"/>
          <w:lang w:val="en-US"/>
        </w:rPr>
        <w:t>R4-164152</w:t>
      </w:r>
      <w:r>
        <w:rPr>
          <w:rFonts w:ascii="Arial" w:hAnsi="Arial" w:cs="Arial"/>
          <w:sz w:val="22"/>
          <w:szCs w:val="22"/>
          <w:lang w:val="en-US"/>
        </w:rPr>
        <w:t>,</w:t>
      </w:r>
      <w:r w:rsidRPr="0049300C">
        <w:rPr>
          <w:rFonts w:ascii="Arial" w:hAnsi="Arial" w:cs="Arial"/>
          <w:sz w:val="22"/>
          <w:szCs w:val="22"/>
          <w:lang w:val="en-US"/>
        </w:rPr>
        <w:t xml:space="preserve"> </w:t>
      </w:r>
      <w:r>
        <w:rPr>
          <w:rFonts w:ascii="Arial" w:hAnsi="Arial" w:cs="Arial"/>
          <w:sz w:val="22"/>
          <w:szCs w:val="22"/>
          <w:lang w:val="en-US"/>
        </w:rPr>
        <w:t>“</w:t>
      </w:r>
      <w:r w:rsidRPr="0049300C">
        <w:rPr>
          <w:rFonts w:ascii="Arial" w:hAnsi="Arial" w:cs="Arial"/>
          <w:sz w:val="22"/>
          <w:szCs w:val="22"/>
          <w:lang w:val="en-US"/>
        </w:rPr>
        <w:t>RSRP and SRSRP measurements in V2V</w:t>
      </w:r>
      <w:r>
        <w:rPr>
          <w:rFonts w:ascii="Arial" w:hAnsi="Arial" w:cs="Arial"/>
          <w:sz w:val="22"/>
          <w:szCs w:val="22"/>
          <w:lang w:val="en-US"/>
        </w:rPr>
        <w:t>”, Ericsson</w:t>
      </w:r>
      <w:bookmarkEnd w:id="8"/>
    </w:p>
    <w:p w:rsidR="00D157D1" w:rsidRPr="00597900" w:rsidRDefault="00D157D1" w:rsidP="00D157D1">
      <w:pPr>
        <w:numPr>
          <w:ilvl w:val="0"/>
          <w:numId w:val="12"/>
        </w:numPr>
        <w:tabs>
          <w:tab w:val="left" w:pos="851"/>
        </w:tabs>
        <w:rPr>
          <w:rFonts w:ascii="Arial" w:hAnsi="Arial" w:cs="Arial"/>
          <w:sz w:val="22"/>
          <w:szCs w:val="22"/>
          <w:lang w:val="en-US"/>
        </w:rPr>
      </w:pPr>
      <w:bookmarkStart w:id="9" w:name="_Ref458773827"/>
      <w:r w:rsidRPr="00D157D1">
        <w:rPr>
          <w:rFonts w:ascii="Arial" w:hAnsi="Arial" w:cs="Arial"/>
          <w:sz w:val="22"/>
          <w:szCs w:val="22"/>
          <w:lang w:val="en-US"/>
        </w:rPr>
        <w:t>R4-166145</w:t>
      </w:r>
      <w:r>
        <w:rPr>
          <w:rFonts w:ascii="Arial" w:hAnsi="Arial" w:cs="Arial"/>
          <w:sz w:val="22"/>
          <w:szCs w:val="22"/>
          <w:lang w:val="en-US"/>
        </w:rPr>
        <w:t>, “</w:t>
      </w:r>
      <w:r w:rsidRPr="00D157D1">
        <w:rPr>
          <w:rFonts w:ascii="Arial" w:hAnsi="Arial" w:cs="Arial"/>
          <w:sz w:val="22"/>
          <w:szCs w:val="22"/>
          <w:lang w:val="en-US"/>
        </w:rPr>
        <w:t>RSRP and RSRQ measurements in V2V</w:t>
      </w:r>
      <w:r>
        <w:rPr>
          <w:rFonts w:ascii="Arial" w:hAnsi="Arial" w:cs="Arial"/>
          <w:sz w:val="22"/>
          <w:szCs w:val="22"/>
          <w:lang w:val="en-US"/>
        </w:rPr>
        <w:t>”, Ericsson</w:t>
      </w:r>
      <w:bookmarkEnd w:id="9"/>
    </w:p>
    <w:p w:rsidR="00294649" w:rsidRPr="00261ADE" w:rsidRDefault="00294649" w:rsidP="00FE4E16">
      <w:pPr>
        <w:tabs>
          <w:tab w:val="left" w:pos="851"/>
        </w:tabs>
        <w:ind w:left="360"/>
        <w:rPr>
          <w:rFonts w:ascii="Arial" w:hAnsi="Arial" w:cs="Arial"/>
          <w:sz w:val="22"/>
          <w:szCs w:val="22"/>
          <w:lang w:val="en-US"/>
        </w:rPr>
      </w:pPr>
    </w:p>
    <w:sectPr w:rsidR="00294649" w:rsidRPr="00261ADE" w:rsidSect="00A23E9B">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FA3" w:rsidRDefault="00C46FA3">
      <w:r>
        <w:separator/>
      </w:r>
    </w:p>
  </w:endnote>
  <w:endnote w:type="continuationSeparator" w:id="0">
    <w:p w:rsidR="00C46FA3" w:rsidRDefault="00C4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05AA">
      <w:rPr>
        <w:rStyle w:val="PageNumber"/>
        <w:noProof/>
      </w:rPr>
      <w:t>4</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FA3" w:rsidRDefault="00C46FA3">
      <w:r>
        <w:separator/>
      </w:r>
    </w:p>
  </w:footnote>
  <w:footnote w:type="continuationSeparator" w:id="0">
    <w:p w:rsidR="00C46FA3" w:rsidRDefault="00C46F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5C4876"/>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CF9676F"/>
    <w:multiLevelType w:val="hybridMultilevel"/>
    <w:tmpl w:val="BA280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467CD8"/>
    <w:multiLevelType w:val="hybridMultilevel"/>
    <w:tmpl w:val="5BC4EE8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2"/>
  </w:num>
  <w:num w:numId="3">
    <w:abstractNumId w:val="10"/>
  </w:num>
  <w:num w:numId="4">
    <w:abstractNumId w:val="4"/>
  </w:num>
  <w:num w:numId="5">
    <w:abstractNumId w:val="5"/>
  </w:num>
  <w:num w:numId="6">
    <w:abstractNumId w:val="1"/>
  </w:num>
  <w:num w:numId="7">
    <w:abstractNumId w:val="0"/>
  </w:num>
  <w:num w:numId="8">
    <w:abstractNumId w:val="14"/>
  </w:num>
  <w:num w:numId="9">
    <w:abstractNumId w:val="6"/>
  </w:num>
  <w:num w:numId="10">
    <w:abstractNumId w:val="8"/>
  </w:num>
  <w:num w:numId="11">
    <w:abstractNumId w:val="2"/>
  </w:num>
  <w:num w:numId="12">
    <w:abstractNumId w:val="3"/>
  </w:num>
  <w:num w:numId="13">
    <w:abstractNumId w:val="13"/>
  </w:num>
  <w:num w:numId="14">
    <w:abstractNumId w:val="11"/>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EE2"/>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F1044"/>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291"/>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29E3"/>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E2D"/>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4EAF"/>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97900"/>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5B40"/>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1D74"/>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D14"/>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54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06B"/>
    <w:rsid w:val="009711F5"/>
    <w:rsid w:val="009717EF"/>
    <w:rsid w:val="0097180E"/>
    <w:rsid w:val="00972289"/>
    <w:rsid w:val="009729A5"/>
    <w:rsid w:val="00973462"/>
    <w:rsid w:val="009735A6"/>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3E9B"/>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080"/>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93A"/>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7F0"/>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6EE0"/>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46FA3"/>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57D1"/>
    <w:rsid w:val="00D1633E"/>
    <w:rsid w:val="00D16410"/>
    <w:rsid w:val="00D16B76"/>
    <w:rsid w:val="00D16DCC"/>
    <w:rsid w:val="00D1774F"/>
    <w:rsid w:val="00D20462"/>
    <w:rsid w:val="00D205C1"/>
    <w:rsid w:val="00D20AA8"/>
    <w:rsid w:val="00D20ADB"/>
    <w:rsid w:val="00D20E48"/>
    <w:rsid w:val="00D21205"/>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05AA"/>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B5A"/>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0F5"/>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Drawing1.vsdx"/><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F246F-3E3A-4C56-B760-0CA62FF7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2016-08-12T13:56:00Z</dcterms:created>
  <dcterms:modified xsi:type="dcterms:W3CDTF">2016-08-12T13:56:00Z</dcterms:modified>
</cp:coreProperties>
</file>